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A2F47">
      <w:pPr>
        <w:spacing w:line="360" w:lineRule="auto"/>
        <w:jc w:val="both"/>
        <w:rPr>
          <w:rFonts w:hint="eastAsia" w:ascii="Times New Roman" w:hAnsi="Times New Roman"/>
          <w:b/>
          <w:bCs/>
          <w:color w:val="0D0D0D"/>
          <w:spacing w:val="2"/>
          <w:sz w:val="44"/>
          <w:szCs w:val="44"/>
        </w:rPr>
      </w:pPr>
      <w:r>
        <w:rPr>
          <w:rFonts w:ascii="Times New Roman" w:hAnsi="宋体"/>
          <w:b/>
          <w:bCs/>
          <w:color w:val="0D0D0D"/>
          <w:spacing w:val="2"/>
          <w:sz w:val="44"/>
          <w:szCs w:val="44"/>
        </w:rPr>
        <w:t>公示</w:t>
      </w:r>
      <w:r>
        <w:rPr>
          <w:rFonts w:hint="eastAsia" w:ascii="Times New Roman" w:hAnsi="宋体"/>
          <w:b/>
          <w:bCs/>
          <w:color w:val="0D0D0D"/>
          <w:spacing w:val="2"/>
          <w:sz w:val="44"/>
          <w:szCs w:val="44"/>
        </w:rPr>
        <w:t>内容</w:t>
      </w:r>
    </w:p>
    <w:p w14:paraId="29907345">
      <w:pPr>
        <w:spacing w:line="360" w:lineRule="auto"/>
        <w:ind w:firstLine="490" w:firstLineChars="200"/>
        <w:rPr>
          <w:rFonts w:hint="eastAsia" w:ascii="宋体" w:hAnsi="宋体" w:cs="宋体"/>
          <w:b/>
          <w:bCs/>
          <w:color w:val="0D0D0D"/>
          <w:spacing w:val="2"/>
          <w:sz w:val="24"/>
          <w:szCs w:val="24"/>
        </w:rPr>
      </w:pPr>
    </w:p>
    <w:p w14:paraId="04E20FE4">
      <w:pPr>
        <w:spacing w:line="360" w:lineRule="auto"/>
        <w:rPr>
          <w:rFonts w:ascii="宋体" w:hAnsi="宋体" w:cs="宋体"/>
          <w:b/>
          <w:bCs/>
          <w:color w:val="FF0000"/>
          <w:sz w:val="24"/>
          <w:szCs w:val="24"/>
        </w:rPr>
      </w:pPr>
      <w:r>
        <w:rPr>
          <w:rFonts w:hint="eastAsia" w:ascii="宋体" w:hAnsi="宋体" w:cs="宋体"/>
          <w:b/>
          <w:bCs/>
          <w:color w:val="0D0D0D"/>
          <w:spacing w:val="2"/>
          <w:sz w:val="24"/>
          <w:szCs w:val="24"/>
        </w:rPr>
        <w:t>1.项目名称</w:t>
      </w:r>
    </w:p>
    <w:p w14:paraId="6112CF46">
      <w:pPr>
        <w:spacing w:line="360" w:lineRule="auto"/>
        <w:rPr>
          <w:rFonts w:hint="default" w:ascii="Times New Roman" w:hAnsi="Times New Roman" w:cs="Times New Roman"/>
          <w:b/>
          <w:bCs/>
          <w:color w:val="0D0D0D"/>
          <w:spacing w:val="2"/>
          <w:sz w:val="24"/>
          <w:szCs w:val="24"/>
          <w:vertAlign w:val="baseline"/>
          <w:lang w:val="en-US" w:eastAsia="zh-CN"/>
        </w:rPr>
      </w:pPr>
      <w:bookmarkStart w:id="0" w:name="_GoBack"/>
      <w:r>
        <w:rPr>
          <w:rFonts w:hint="default" w:ascii="Times New Roman" w:hAnsi="Times New Roman" w:cs="Times New Roman"/>
          <w:sz w:val="24"/>
          <w:szCs w:val="24"/>
          <w:vertAlign w:val="baseline"/>
          <w:lang w:val="en-US" w:eastAsia="zh-CN"/>
        </w:rPr>
        <w:t>氧化应激</w:t>
      </w:r>
      <w:r>
        <w:rPr>
          <w:rFonts w:hint="eastAsia" w:ascii="Times New Roman" w:hAnsi="Times New Roman" w:cs="Times New Roman"/>
          <w:sz w:val="24"/>
          <w:szCs w:val="24"/>
          <w:vertAlign w:val="baseline"/>
          <w:lang w:val="en-US" w:eastAsia="zh-CN"/>
        </w:rPr>
        <w:t>致心肌、肺组织及血管</w:t>
      </w:r>
      <w:r>
        <w:rPr>
          <w:rFonts w:hint="default" w:ascii="Times New Roman" w:hAnsi="Times New Roman" w:cs="Times New Roman"/>
          <w:sz w:val="24"/>
          <w:szCs w:val="24"/>
          <w:vertAlign w:val="baseline"/>
          <w:lang w:val="en-US" w:eastAsia="zh-CN"/>
        </w:rPr>
        <w:t>损伤新</w:t>
      </w:r>
      <w:r>
        <w:rPr>
          <w:rFonts w:hint="eastAsia" w:ascii="Times New Roman" w:hAnsi="Times New Roman" w:cs="Times New Roman"/>
          <w:sz w:val="24"/>
          <w:szCs w:val="24"/>
          <w:vertAlign w:val="baseline"/>
          <w:lang w:val="en-US" w:eastAsia="zh-CN"/>
        </w:rPr>
        <w:t>靶点</w:t>
      </w:r>
      <w:r>
        <w:rPr>
          <w:rFonts w:hint="default" w:ascii="Times New Roman" w:hAnsi="Times New Roman" w:cs="Times New Roman"/>
          <w:sz w:val="24"/>
          <w:szCs w:val="24"/>
          <w:vertAlign w:val="baseline"/>
          <w:lang w:val="en-US" w:eastAsia="zh-CN"/>
        </w:rPr>
        <w:t>及创新防治的临床应用</w:t>
      </w:r>
    </w:p>
    <w:bookmarkEnd w:id="0"/>
    <w:p w14:paraId="7D2493A7">
      <w:pPr>
        <w:numPr>
          <w:ilvl w:val="0"/>
          <w:numId w:val="1"/>
        </w:numPr>
        <w:rPr>
          <w:rFonts w:hint="eastAsia" w:ascii="宋体" w:hAnsi="宋体" w:cs="宋体"/>
          <w:b/>
          <w:bCs/>
          <w:color w:val="0D0D0D"/>
          <w:spacing w:val="2"/>
          <w:sz w:val="24"/>
          <w:szCs w:val="24"/>
        </w:rPr>
      </w:pPr>
      <w:r>
        <w:rPr>
          <w:rFonts w:hint="eastAsia" w:ascii="宋体" w:hAnsi="宋体" w:cs="宋体"/>
          <w:b/>
          <w:bCs/>
          <w:color w:val="0D0D0D"/>
          <w:spacing w:val="2"/>
          <w:sz w:val="24"/>
          <w:szCs w:val="24"/>
        </w:rPr>
        <w:t>申报奖种</w:t>
      </w:r>
    </w:p>
    <w:p w14:paraId="4E08F8E6">
      <w:pPr>
        <w:spacing w:line="360" w:lineRule="auto"/>
        <w:rPr>
          <w:rFonts w:hint="eastAsia" w:ascii="宋体" w:hAnsi="宋体" w:cs="宋体"/>
          <w:b/>
          <w:bCs/>
          <w:color w:val="0D0D0D"/>
          <w:spacing w:val="2"/>
          <w:sz w:val="24"/>
          <w:szCs w:val="24"/>
          <w:lang w:val="en-US" w:eastAsia="zh-CN"/>
        </w:rPr>
      </w:pPr>
      <w:r>
        <w:rPr>
          <w:rFonts w:hint="eastAsia" w:ascii="宋体" w:hAnsi="宋体" w:cs="宋体"/>
          <w:b w:val="0"/>
          <w:bCs w:val="0"/>
          <w:color w:val="0D0D0D"/>
          <w:spacing w:val="2"/>
          <w:sz w:val="24"/>
          <w:szCs w:val="24"/>
          <w:lang w:val="en-US" w:eastAsia="zh-CN"/>
        </w:rPr>
        <w:t>甘肃省科技进步奖</w:t>
      </w:r>
    </w:p>
    <w:p w14:paraId="710B3921">
      <w:pPr>
        <w:numPr>
          <w:ilvl w:val="0"/>
          <w:numId w:val="1"/>
        </w:numPr>
        <w:spacing w:line="360" w:lineRule="auto"/>
        <w:ind w:left="0" w:leftChars="0" w:firstLine="0" w:firstLineChars="0"/>
        <w:rPr>
          <w:rFonts w:hint="eastAsia" w:ascii="宋体" w:hAnsi="宋体" w:cs="宋体"/>
          <w:b/>
          <w:bCs/>
          <w:color w:val="0D0D0D"/>
          <w:spacing w:val="2"/>
          <w:sz w:val="24"/>
          <w:szCs w:val="24"/>
          <w:lang w:val="en-US" w:eastAsia="zh-CN"/>
        </w:rPr>
      </w:pPr>
      <w:r>
        <w:rPr>
          <w:rFonts w:hint="eastAsia" w:ascii="宋体" w:hAnsi="宋体" w:cs="宋体"/>
          <w:b/>
          <w:bCs/>
          <w:color w:val="0D0D0D"/>
          <w:spacing w:val="2"/>
          <w:sz w:val="24"/>
          <w:szCs w:val="24"/>
          <w:lang w:val="en-US" w:eastAsia="zh-CN"/>
        </w:rPr>
        <w:t>主要完成单位</w:t>
      </w:r>
    </w:p>
    <w:p w14:paraId="6FE6A66D">
      <w:pPr>
        <w:numPr>
          <w:ilvl w:val="0"/>
          <w:numId w:val="0"/>
        </w:numPr>
        <w:spacing w:line="360" w:lineRule="auto"/>
        <w:ind w:leftChars="0"/>
        <w:rPr>
          <w:rFonts w:hint="default" w:ascii="宋体" w:hAnsi="宋体" w:cs="宋体"/>
          <w:b w:val="0"/>
          <w:bCs w:val="0"/>
          <w:color w:val="0D0D0D"/>
          <w:spacing w:val="2"/>
          <w:sz w:val="24"/>
          <w:szCs w:val="24"/>
          <w:lang w:val="en-US" w:eastAsia="zh-CN"/>
        </w:rPr>
      </w:pPr>
      <w:r>
        <w:rPr>
          <w:rFonts w:hint="eastAsia" w:ascii="宋体" w:hAnsi="宋体" w:cs="宋体"/>
          <w:b w:val="0"/>
          <w:bCs w:val="0"/>
          <w:color w:val="0D0D0D"/>
          <w:spacing w:val="2"/>
          <w:sz w:val="24"/>
          <w:szCs w:val="24"/>
          <w:lang w:val="en-US" w:eastAsia="zh-CN"/>
        </w:rPr>
        <w:t>兰州大学第二医院</w:t>
      </w:r>
    </w:p>
    <w:p w14:paraId="17A6ECE3">
      <w:pPr>
        <w:spacing w:line="360" w:lineRule="auto"/>
        <w:rPr>
          <w:rFonts w:hint="eastAsia" w:ascii="宋体" w:hAnsi="宋体" w:eastAsia="宋体" w:cs="宋体"/>
          <w:sz w:val="24"/>
          <w:szCs w:val="24"/>
          <w:lang w:val="en-US" w:eastAsia="zh-CN"/>
        </w:rPr>
      </w:pPr>
      <w:r>
        <w:rPr>
          <w:rFonts w:hint="eastAsia" w:ascii="宋体" w:hAnsi="宋体" w:cs="宋体"/>
          <w:b/>
          <w:bCs/>
          <w:sz w:val="24"/>
          <w:szCs w:val="24"/>
          <w:lang w:val="en-US" w:eastAsia="zh-CN"/>
        </w:rPr>
        <w:t>4</w:t>
      </w:r>
      <w:r>
        <w:rPr>
          <w:rFonts w:hint="eastAsia" w:ascii="宋体" w:hAnsi="宋体" w:cs="宋体"/>
          <w:b/>
          <w:bCs/>
          <w:sz w:val="24"/>
          <w:szCs w:val="24"/>
        </w:rPr>
        <w:t>.项目简介</w:t>
      </w:r>
    </w:p>
    <w:p w14:paraId="49DC2615">
      <w:pPr>
        <w:keepNext w:val="0"/>
        <w:keepLines w:val="0"/>
        <w:widowControl/>
        <w:suppressLineNumbers w:val="0"/>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本项目依托甘肃省多个重点实验室</w:t>
      </w:r>
      <w:r>
        <w:rPr>
          <w:rFonts w:hint="eastAsia" w:ascii="宋体" w:hAnsi="宋体" w:cs="宋体"/>
          <w:sz w:val="24"/>
          <w:szCs w:val="24"/>
          <w:lang w:val="en-US" w:eastAsia="zh-CN"/>
        </w:rPr>
        <w:t>平台，</w:t>
      </w:r>
      <w:r>
        <w:rPr>
          <w:rFonts w:hint="eastAsia" w:ascii="宋体" w:hAnsi="宋体" w:eastAsia="宋体" w:cs="宋体"/>
          <w:sz w:val="24"/>
          <w:szCs w:val="24"/>
          <w:lang w:val="en-US" w:eastAsia="zh-CN"/>
        </w:rPr>
        <w:t>系统揭示了</w:t>
      </w:r>
      <w:r>
        <w:rPr>
          <w:rFonts w:hint="eastAsia" w:ascii="宋体" w:hAnsi="宋体" w:eastAsia="宋体" w:cs="宋体"/>
          <w:b/>
          <w:bCs/>
          <w:sz w:val="24"/>
          <w:szCs w:val="24"/>
          <w:lang w:val="en-US" w:eastAsia="zh-CN"/>
        </w:rPr>
        <w:t>氧化应激介导心、肺、血管损伤的新机制</w:t>
      </w:r>
      <w:r>
        <w:rPr>
          <w:rFonts w:hint="eastAsia" w:ascii="宋体" w:hAnsi="宋体" w:eastAsia="宋体" w:cs="宋体"/>
          <w:sz w:val="24"/>
          <w:szCs w:val="24"/>
          <w:lang w:val="en-US" w:eastAsia="zh-CN"/>
        </w:rPr>
        <w:t>，将其应用于临床并取得较好疗效。</w:t>
      </w:r>
      <w:r>
        <w:rPr>
          <w:rFonts w:hint="eastAsia" w:ascii="宋体" w:hAnsi="宋体" w:eastAsia="宋体" w:cs="宋体"/>
          <w:b/>
          <w:bCs/>
          <w:sz w:val="24"/>
          <w:szCs w:val="24"/>
          <w:lang w:val="en-US" w:eastAsia="zh-CN"/>
        </w:rPr>
        <w:t>首次证实：</w:t>
      </w:r>
      <w:r>
        <w:rPr>
          <w:rFonts w:hint="eastAsia" w:ascii="宋体" w:hAnsi="宋体" w:eastAsia="宋体" w:cs="宋体"/>
          <w:sz w:val="24"/>
          <w:szCs w:val="24"/>
          <w:lang w:val="en-US" w:eastAsia="zh-CN"/>
        </w:rPr>
        <w:t>1.四氢生物蝶呤（BH4）联合奈必洛尔通过激活NO/cGMP协同改善心脏舒张功能。2.X线辐射导致心肌细胞氧化应激失衡促进凋亡。MOF抑制剂通过抑制MOF-p53K120通路减轻辐射性心肌损伤。3.右心室、室间隔和左心室的Akt通路活性存在显著差异。4.菲可通过氧化应激和炎症通路损伤肺组织。5.钙蛋白酶抑制剂通过“抗氧化-抗炎-胆固醇代谢调节”协同通路抑制动脉粥样硬化。</w:t>
      </w:r>
      <w:r>
        <w:rPr>
          <w:rFonts w:hint="eastAsia" w:ascii="宋体" w:hAnsi="宋体" w:eastAsia="宋体" w:cs="宋体"/>
          <w:b/>
          <w:bCs/>
          <w:sz w:val="24"/>
          <w:szCs w:val="24"/>
          <w:lang w:val="en-US" w:eastAsia="zh-CN"/>
        </w:rPr>
        <w:t>成果应用：</w:t>
      </w:r>
      <w:r>
        <w:rPr>
          <w:rFonts w:hint="eastAsia" w:ascii="宋体" w:hAnsi="宋体" w:eastAsia="宋体" w:cs="宋体"/>
          <w:sz w:val="24"/>
          <w:szCs w:val="24"/>
          <w:lang w:val="en-US" w:eastAsia="zh-CN"/>
        </w:rPr>
        <w:t>临床超滤联合指南指导的药物治疗、神经肌肉阻滞剂降低全身代谢需求及氧耗，改善心脏骤停复苏患者神经功能及生存率；艾司洛尔通过抑制儿茶酚胺过度激活，降低心率及氧耗，减轻氧化应激，保护心肌。</w:t>
      </w:r>
      <w:r>
        <w:rPr>
          <w:rFonts w:hint="eastAsia" w:ascii="宋体" w:hAnsi="宋体" w:eastAsia="宋体" w:cs="宋体"/>
          <w:b/>
          <w:bCs/>
          <w:sz w:val="24"/>
          <w:szCs w:val="24"/>
          <w:lang w:val="en-US" w:eastAsia="zh-CN"/>
        </w:rPr>
        <w:t>潜在转化：</w:t>
      </w:r>
      <w:r>
        <w:rPr>
          <w:rFonts w:hint="eastAsia" w:ascii="宋体" w:hAnsi="宋体" w:eastAsia="宋体" w:cs="宋体"/>
          <w:sz w:val="24"/>
          <w:szCs w:val="24"/>
          <w:lang w:val="en-US" w:eastAsia="zh-CN"/>
        </w:rPr>
        <w:t>1.rhBNP为静脉用药，通过利尿、扩管、调节氧化应激保护心肌，但其半衰期短。本团队掌握了多肽环化及非天然氨基酸修饰技术，拟对BNP进行化学修饰，制备皮下自组装长效纳米载体注射液和口服制剂，为增加生物利用度及依从性提供可能。2.BH4及MOF制剂防治X线辐射心肌损伤的药物开发。</w:t>
      </w:r>
    </w:p>
    <w:p w14:paraId="1E3F5895">
      <w:pPr>
        <w:keepNext w:val="0"/>
        <w:keepLines w:val="0"/>
        <w:widowControl/>
        <w:suppressLineNumbers w:val="0"/>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研究期间发表论文39篇（SCI 14篇），获国家自然科学地区基金等资助，培养了研究人才梯队，成果在全省</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家医疗机构应用。</w:t>
      </w:r>
    </w:p>
    <w:p w14:paraId="2D3605EF">
      <w:pPr>
        <w:rPr>
          <w:rFonts w:hint="eastAsia" w:ascii="宋体" w:hAnsi="宋体" w:eastAsia="宋体" w:cs="宋体"/>
          <w:sz w:val="24"/>
          <w:szCs w:val="24"/>
          <w:lang w:val="en-US" w:eastAsia="zh-CN"/>
        </w:rPr>
      </w:pPr>
    </w:p>
    <w:p w14:paraId="328D277E">
      <w:pPr>
        <w:rPr>
          <w:rFonts w:hint="eastAsia" w:ascii="宋体" w:hAnsi="宋体" w:cs="宋体"/>
          <w:b/>
          <w:bCs/>
          <w:sz w:val="24"/>
          <w:szCs w:val="24"/>
        </w:rPr>
      </w:pPr>
      <w:r>
        <w:rPr>
          <w:rFonts w:hint="eastAsia" w:ascii="宋体" w:hAnsi="宋体" w:cs="宋体"/>
          <w:b/>
          <w:bCs/>
          <w:sz w:val="24"/>
          <w:szCs w:val="24"/>
          <w:lang w:val="en-US" w:eastAsia="zh-CN"/>
        </w:rPr>
        <w:t>5</w:t>
      </w:r>
      <w:r>
        <w:rPr>
          <w:rFonts w:hint="eastAsia" w:ascii="宋体" w:hAnsi="宋体" w:cs="宋体"/>
          <w:b/>
          <w:bCs/>
          <w:sz w:val="24"/>
          <w:szCs w:val="24"/>
        </w:rPr>
        <w:t>.知识产权证明目录</w:t>
      </w:r>
    </w:p>
    <w:tbl>
      <w:tblPr>
        <w:tblStyle w:val="3"/>
        <w:tblpPr w:leftFromText="180" w:rightFromText="180" w:vertAnchor="text" w:horzAnchor="page" w:tblpX="1596" w:tblpY="25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508"/>
        <w:gridCol w:w="2491"/>
        <w:gridCol w:w="1080"/>
        <w:gridCol w:w="1020"/>
        <w:gridCol w:w="1148"/>
        <w:gridCol w:w="1148"/>
        <w:gridCol w:w="1356"/>
        <w:gridCol w:w="2154"/>
        <w:gridCol w:w="1082"/>
      </w:tblGrid>
      <w:tr w14:paraId="3E51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788" w:type="dxa"/>
            <w:noWrap w:val="0"/>
            <w:vAlign w:val="center"/>
          </w:tcPr>
          <w:p w14:paraId="1020AC4C">
            <w:pPr>
              <w:jc w:val="center"/>
              <w:rPr>
                <w:color w:val="000000"/>
              </w:rPr>
            </w:pPr>
            <w:r>
              <w:rPr>
                <w:rFonts w:hint="eastAsia"/>
                <w:color w:val="000000"/>
              </w:rPr>
              <w:t>序号</w:t>
            </w:r>
          </w:p>
        </w:tc>
        <w:tc>
          <w:tcPr>
            <w:tcW w:w="1508" w:type="dxa"/>
            <w:noWrap w:val="0"/>
            <w:vAlign w:val="center"/>
          </w:tcPr>
          <w:p w14:paraId="094432F0">
            <w:pPr>
              <w:jc w:val="center"/>
              <w:rPr>
                <w:color w:val="000000"/>
              </w:rPr>
            </w:pPr>
            <w:r>
              <w:rPr>
                <w:color w:val="000000"/>
              </w:rPr>
              <w:t>知识产权类别</w:t>
            </w:r>
          </w:p>
        </w:tc>
        <w:tc>
          <w:tcPr>
            <w:tcW w:w="2491" w:type="dxa"/>
            <w:noWrap w:val="0"/>
            <w:vAlign w:val="center"/>
          </w:tcPr>
          <w:p w14:paraId="3DD163A6">
            <w:pPr>
              <w:jc w:val="center"/>
              <w:rPr>
                <w:color w:val="000000"/>
              </w:rPr>
            </w:pPr>
            <w:r>
              <w:rPr>
                <w:rFonts w:hint="eastAsia"/>
                <w:color w:val="000000"/>
              </w:rPr>
              <w:t>知识产权具体</w:t>
            </w:r>
            <w:r>
              <w:rPr>
                <w:color w:val="000000"/>
              </w:rPr>
              <w:t>名称</w:t>
            </w:r>
          </w:p>
        </w:tc>
        <w:tc>
          <w:tcPr>
            <w:tcW w:w="1080" w:type="dxa"/>
            <w:noWrap w:val="0"/>
            <w:vAlign w:val="center"/>
          </w:tcPr>
          <w:p w14:paraId="6BFBE5DE">
            <w:pPr>
              <w:pStyle w:val="2"/>
              <w:ind w:left="0" w:leftChars="0" w:firstLine="0" w:firstLineChars="0"/>
              <w:jc w:val="center"/>
              <w:rPr>
                <w:rFonts w:hint="eastAsia"/>
                <w:color w:val="000000"/>
                <w:lang w:val="en-US" w:eastAsia="zh-CN"/>
              </w:rPr>
            </w:pPr>
            <w:r>
              <w:rPr>
                <w:rFonts w:hint="eastAsia"/>
                <w:color w:val="000000"/>
                <w:lang w:val="en-US" w:eastAsia="zh-CN"/>
              </w:rPr>
              <w:t>国家</w:t>
            </w:r>
          </w:p>
          <w:p w14:paraId="44A6AE8C">
            <w:pPr>
              <w:pStyle w:val="2"/>
              <w:ind w:left="0" w:leftChars="0" w:firstLine="0" w:firstLineChars="0"/>
              <w:jc w:val="center"/>
              <w:rPr>
                <w:rFonts w:hint="eastAsia" w:eastAsia="宋体"/>
                <w:color w:val="000000"/>
                <w:lang w:val="en-US" w:eastAsia="zh-CN"/>
              </w:rPr>
            </w:pPr>
            <w:r>
              <w:rPr>
                <w:rFonts w:hint="eastAsia"/>
                <w:color w:val="000000"/>
                <w:lang w:val="en-US" w:eastAsia="zh-CN"/>
              </w:rPr>
              <w:t>（地区）</w:t>
            </w:r>
          </w:p>
        </w:tc>
        <w:tc>
          <w:tcPr>
            <w:tcW w:w="1020" w:type="dxa"/>
            <w:noWrap w:val="0"/>
            <w:vAlign w:val="center"/>
          </w:tcPr>
          <w:p w14:paraId="7DCF8435">
            <w:pPr>
              <w:jc w:val="center"/>
              <w:rPr>
                <w:color w:val="000000"/>
              </w:rPr>
            </w:pPr>
            <w:r>
              <w:rPr>
                <w:rFonts w:hint="eastAsia"/>
                <w:color w:val="000000"/>
              </w:rPr>
              <w:t>授权号</w:t>
            </w:r>
          </w:p>
        </w:tc>
        <w:tc>
          <w:tcPr>
            <w:tcW w:w="1148" w:type="dxa"/>
            <w:noWrap w:val="0"/>
            <w:vAlign w:val="center"/>
          </w:tcPr>
          <w:p w14:paraId="001356EE">
            <w:pPr>
              <w:jc w:val="center"/>
              <w:rPr>
                <w:color w:val="000000"/>
              </w:rPr>
            </w:pPr>
            <w:r>
              <w:rPr>
                <w:rFonts w:hint="eastAsia"/>
                <w:color w:val="000000"/>
              </w:rPr>
              <w:t>授权日期</w:t>
            </w:r>
          </w:p>
        </w:tc>
        <w:tc>
          <w:tcPr>
            <w:tcW w:w="1148" w:type="dxa"/>
            <w:noWrap w:val="0"/>
            <w:vAlign w:val="center"/>
          </w:tcPr>
          <w:p w14:paraId="74F2A898">
            <w:pPr>
              <w:jc w:val="center"/>
              <w:rPr>
                <w:color w:val="000000"/>
              </w:rPr>
            </w:pPr>
            <w:r>
              <w:rPr>
                <w:rFonts w:hint="eastAsia"/>
                <w:color w:val="000000"/>
              </w:rPr>
              <w:t>证书编号</w:t>
            </w:r>
          </w:p>
        </w:tc>
        <w:tc>
          <w:tcPr>
            <w:tcW w:w="1356" w:type="dxa"/>
            <w:noWrap w:val="0"/>
            <w:vAlign w:val="center"/>
          </w:tcPr>
          <w:p w14:paraId="3A7AD2E3">
            <w:pPr>
              <w:jc w:val="center"/>
              <w:rPr>
                <w:color w:val="000000"/>
              </w:rPr>
            </w:pPr>
            <w:r>
              <w:rPr>
                <w:rFonts w:hint="eastAsia"/>
                <w:color w:val="000000"/>
              </w:rPr>
              <w:t>权利人</w:t>
            </w:r>
          </w:p>
        </w:tc>
        <w:tc>
          <w:tcPr>
            <w:tcW w:w="2154" w:type="dxa"/>
            <w:noWrap w:val="0"/>
            <w:vAlign w:val="center"/>
          </w:tcPr>
          <w:p w14:paraId="7C6FB402">
            <w:pPr>
              <w:jc w:val="center"/>
              <w:rPr>
                <w:color w:val="000000"/>
              </w:rPr>
            </w:pPr>
            <w:r>
              <w:rPr>
                <w:rFonts w:hint="eastAsia"/>
                <w:color w:val="000000"/>
              </w:rPr>
              <w:t>发明人</w:t>
            </w:r>
          </w:p>
        </w:tc>
        <w:tc>
          <w:tcPr>
            <w:tcW w:w="1082" w:type="dxa"/>
            <w:noWrap w:val="0"/>
            <w:vAlign w:val="center"/>
          </w:tcPr>
          <w:p w14:paraId="68DA5319">
            <w:pPr>
              <w:jc w:val="center"/>
              <w:rPr>
                <w:color w:val="000000"/>
              </w:rPr>
            </w:pPr>
            <w:r>
              <w:rPr>
                <w:rFonts w:hint="eastAsia"/>
                <w:color w:val="000000"/>
              </w:rPr>
              <w:t>专利有效状态</w:t>
            </w:r>
          </w:p>
        </w:tc>
      </w:tr>
      <w:tr w14:paraId="4A688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88" w:type="dxa"/>
            <w:noWrap w:val="0"/>
            <w:vAlign w:val="center"/>
          </w:tcPr>
          <w:p w14:paraId="1990194F">
            <w:pPr>
              <w:jc w:val="center"/>
              <w:rPr>
                <w:color w:val="000000"/>
              </w:rPr>
            </w:pPr>
          </w:p>
        </w:tc>
        <w:tc>
          <w:tcPr>
            <w:tcW w:w="1508" w:type="dxa"/>
            <w:noWrap w:val="0"/>
            <w:vAlign w:val="center"/>
          </w:tcPr>
          <w:p w14:paraId="538A5E0C">
            <w:pPr>
              <w:rPr>
                <w:color w:val="000000"/>
              </w:rPr>
            </w:pPr>
          </w:p>
        </w:tc>
        <w:tc>
          <w:tcPr>
            <w:tcW w:w="2491" w:type="dxa"/>
            <w:noWrap w:val="0"/>
            <w:vAlign w:val="center"/>
          </w:tcPr>
          <w:p w14:paraId="697C6B0E">
            <w:pPr>
              <w:rPr>
                <w:color w:val="000000"/>
              </w:rPr>
            </w:pPr>
          </w:p>
        </w:tc>
        <w:tc>
          <w:tcPr>
            <w:tcW w:w="1080" w:type="dxa"/>
            <w:noWrap w:val="0"/>
            <w:vAlign w:val="center"/>
          </w:tcPr>
          <w:p w14:paraId="044F4DA2">
            <w:pPr>
              <w:rPr>
                <w:color w:val="000000"/>
              </w:rPr>
            </w:pPr>
          </w:p>
        </w:tc>
        <w:tc>
          <w:tcPr>
            <w:tcW w:w="1020" w:type="dxa"/>
            <w:noWrap w:val="0"/>
            <w:vAlign w:val="center"/>
          </w:tcPr>
          <w:p w14:paraId="6DF2F85F">
            <w:pPr>
              <w:rPr>
                <w:color w:val="000000"/>
              </w:rPr>
            </w:pPr>
          </w:p>
        </w:tc>
        <w:tc>
          <w:tcPr>
            <w:tcW w:w="1148" w:type="dxa"/>
            <w:noWrap w:val="0"/>
            <w:vAlign w:val="center"/>
          </w:tcPr>
          <w:p w14:paraId="24E6E936">
            <w:pPr>
              <w:rPr>
                <w:color w:val="000000"/>
              </w:rPr>
            </w:pPr>
          </w:p>
        </w:tc>
        <w:tc>
          <w:tcPr>
            <w:tcW w:w="1148" w:type="dxa"/>
            <w:noWrap w:val="0"/>
            <w:vAlign w:val="center"/>
          </w:tcPr>
          <w:p w14:paraId="62540CD2">
            <w:pPr>
              <w:rPr>
                <w:color w:val="000000"/>
              </w:rPr>
            </w:pPr>
          </w:p>
        </w:tc>
        <w:tc>
          <w:tcPr>
            <w:tcW w:w="1356" w:type="dxa"/>
            <w:noWrap w:val="0"/>
            <w:vAlign w:val="center"/>
          </w:tcPr>
          <w:p w14:paraId="7CD682B2">
            <w:pPr>
              <w:rPr>
                <w:color w:val="000000"/>
              </w:rPr>
            </w:pPr>
          </w:p>
        </w:tc>
        <w:tc>
          <w:tcPr>
            <w:tcW w:w="2154" w:type="dxa"/>
            <w:noWrap w:val="0"/>
            <w:vAlign w:val="center"/>
          </w:tcPr>
          <w:p w14:paraId="5081E240">
            <w:pPr>
              <w:rPr>
                <w:color w:val="000000"/>
              </w:rPr>
            </w:pPr>
          </w:p>
        </w:tc>
        <w:tc>
          <w:tcPr>
            <w:tcW w:w="1082" w:type="dxa"/>
            <w:noWrap w:val="0"/>
            <w:vAlign w:val="center"/>
          </w:tcPr>
          <w:p w14:paraId="54C87D31">
            <w:pPr>
              <w:rPr>
                <w:color w:val="000000"/>
              </w:rPr>
            </w:pPr>
          </w:p>
        </w:tc>
      </w:tr>
      <w:tr w14:paraId="30E2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8" w:hRule="atLeast"/>
        </w:trPr>
        <w:tc>
          <w:tcPr>
            <w:tcW w:w="788" w:type="dxa"/>
            <w:noWrap w:val="0"/>
            <w:vAlign w:val="center"/>
          </w:tcPr>
          <w:p w14:paraId="60DF6C92">
            <w:pPr>
              <w:jc w:val="center"/>
              <w:rPr>
                <w:color w:val="000000"/>
              </w:rPr>
            </w:pPr>
          </w:p>
        </w:tc>
        <w:tc>
          <w:tcPr>
            <w:tcW w:w="1508" w:type="dxa"/>
            <w:noWrap w:val="0"/>
            <w:vAlign w:val="center"/>
          </w:tcPr>
          <w:p w14:paraId="69FD0790">
            <w:pPr>
              <w:rPr>
                <w:color w:val="000000"/>
              </w:rPr>
            </w:pPr>
          </w:p>
        </w:tc>
        <w:tc>
          <w:tcPr>
            <w:tcW w:w="2491" w:type="dxa"/>
            <w:noWrap w:val="0"/>
            <w:vAlign w:val="center"/>
          </w:tcPr>
          <w:p w14:paraId="4EE4FF7E">
            <w:pPr>
              <w:rPr>
                <w:color w:val="000000"/>
              </w:rPr>
            </w:pPr>
          </w:p>
        </w:tc>
        <w:tc>
          <w:tcPr>
            <w:tcW w:w="1080" w:type="dxa"/>
            <w:noWrap w:val="0"/>
            <w:vAlign w:val="center"/>
          </w:tcPr>
          <w:p w14:paraId="4E1AF922">
            <w:pPr>
              <w:rPr>
                <w:color w:val="000000"/>
              </w:rPr>
            </w:pPr>
          </w:p>
        </w:tc>
        <w:tc>
          <w:tcPr>
            <w:tcW w:w="1020" w:type="dxa"/>
            <w:noWrap w:val="0"/>
            <w:vAlign w:val="center"/>
          </w:tcPr>
          <w:p w14:paraId="309DBF10">
            <w:pPr>
              <w:rPr>
                <w:color w:val="000000"/>
              </w:rPr>
            </w:pPr>
          </w:p>
        </w:tc>
        <w:tc>
          <w:tcPr>
            <w:tcW w:w="1148" w:type="dxa"/>
            <w:noWrap w:val="0"/>
            <w:vAlign w:val="center"/>
          </w:tcPr>
          <w:p w14:paraId="686DFF24">
            <w:pPr>
              <w:rPr>
                <w:color w:val="000000"/>
              </w:rPr>
            </w:pPr>
          </w:p>
        </w:tc>
        <w:tc>
          <w:tcPr>
            <w:tcW w:w="1148" w:type="dxa"/>
            <w:noWrap w:val="0"/>
            <w:vAlign w:val="center"/>
          </w:tcPr>
          <w:p w14:paraId="25E7E1E5">
            <w:pPr>
              <w:rPr>
                <w:color w:val="000000"/>
              </w:rPr>
            </w:pPr>
          </w:p>
        </w:tc>
        <w:tc>
          <w:tcPr>
            <w:tcW w:w="1356" w:type="dxa"/>
            <w:noWrap w:val="0"/>
            <w:vAlign w:val="center"/>
          </w:tcPr>
          <w:p w14:paraId="7EAEF319">
            <w:pPr>
              <w:rPr>
                <w:color w:val="000000"/>
              </w:rPr>
            </w:pPr>
          </w:p>
        </w:tc>
        <w:tc>
          <w:tcPr>
            <w:tcW w:w="2154" w:type="dxa"/>
            <w:noWrap w:val="0"/>
            <w:vAlign w:val="center"/>
          </w:tcPr>
          <w:p w14:paraId="559BC2D5">
            <w:pPr>
              <w:rPr>
                <w:color w:val="000000"/>
              </w:rPr>
            </w:pPr>
          </w:p>
        </w:tc>
        <w:tc>
          <w:tcPr>
            <w:tcW w:w="1082" w:type="dxa"/>
            <w:noWrap w:val="0"/>
            <w:vAlign w:val="center"/>
          </w:tcPr>
          <w:p w14:paraId="0458C761">
            <w:pPr>
              <w:rPr>
                <w:color w:val="000000"/>
              </w:rPr>
            </w:pPr>
          </w:p>
        </w:tc>
      </w:tr>
    </w:tbl>
    <w:p w14:paraId="74B6DB8F">
      <w:pPr>
        <w:rPr>
          <w:rFonts w:hint="eastAsia" w:ascii="宋体" w:hAnsi="宋体" w:cs="宋体"/>
          <w:b/>
          <w:bCs/>
          <w:sz w:val="24"/>
          <w:szCs w:val="24"/>
        </w:rPr>
      </w:pPr>
    </w:p>
    <w:p w14:paraId="13C8A646">
      <w:pPr>
        <w:rPr>
          <w:rFonts w:ascii="宋体" w:hAnsi="宋体" w:cs="宋体"/>
          <w:b/>
          <w:bCs/>
          <w:sz w:val="24"/>
          <w:szCs w:val="24"/>
        </w:rPr>
      </w:pPr>
      <w:r>
        <w:rPr>
          <w:rFonts w:hint="eastAsia" w:ascii="宋体" w:hAnsi="宋体" w:cs="宋体"/>
          <w:b/>
          <w:bCs/>
          <w:sz w:val="24"/>
          <w:szCs w:val="24"/>
        </w:rPr>
        <w:t xml:space="preserve"> </w:t>
      </w:r>
      <w:r>
        <w:rPr>
          <w:rFonts w:hint="eastAsia" w:ascii="宋体" w:hAnsi="宋体" w:cs="宋体"/>
          <w:b/>
          <w:bCs/>
          <w:sz w:val="24"/>
          <w:szCs w:val="24"/>
          <w:lang w:val="en-US" w:eastAsia="zh-CN"/>
        </w:rPr>
        <w:t>6</w:t>
      </w:r>
      <w:r>
        <w:rPr>
          <w:rFonts w:hint="eastAsia" w:ascii="宋体" w:hAnsi="宋体" w:cs="宋体"/>
          <w:b/>
          <w:bCs/>
          <w:sz w:val="24"/>
          <w:szCs w:val="24"/>
        </w:rPr>
        <w:t>.代表性论文目录</w:t>
      </w:r>
    </w:p>
    <w:p w14:paraId="558CE9E0">
      <w:pPr>
        <w:jc w:val="center"/>
        <w:rPr>
          <w:rFonts w:ascii="Times New Roman" w:hAnsi="Times New Roman" w:eastAsia="黑体"/>
          <w:szCs w:val="28"/>
        </w:rPr>
      </w:pPr>
    </w:p>
    <w:tbl>
      <w:tblPr>
        <w:tblStyle w:val="3"/>
        <w:tblW w:w="4857" w:type="pct"/>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3645"/>
        <w:gridCol w:w="2025"/>
        <w:gridCol w:w="1575"/>
        <w:gridCol w:w="1275"/>
        <w:gridCol w:w="1185"/>
        <w:gridCol w:w="2748"/>
        <w:gridCol w:w="744"/>
      </w:tblGrid>
      <w:tr w14:paraId="5B1C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76754CA1">
            <w:pPr>
              <w:jc w:val="center"/>
              <w:rPr>
                <w:rFonts w:ascii="Times New Roman" w:hAnsi="Times New Roman"/>
                <w:sz w:val="18"/>
                <w:szCs w:val="15"/>
              </w:rPr>
            </w:pPr>
            <w:r>
              <w:rPr>
                <w:rFonts w:ascii="Times New Roman" w:hAnsi="Times New Roman"/>
                <w:sz w:val="18"/>
                <w:szCs w:val="15"/>
              </w:rPr>
              <w:t>序号</w:t>
            </w:r>
          </w:p>
        </w:tc>
        <w:tc>
          <w:tcPr>
            <w:tcW w:w="1323" w:type="pct"/>
            <w:tcBorders>
              <w:top w:val="single" w:color="auto" w:sz="8" w:space="0"/>
              <w:left w:val="single" w:color="auto" w:sz="8" w:space="0"/>
              <w:bottom w:val="single" w:color="auto" w:sz="8" w:space="0"/>
              <w:right w:val="single" w:color="auto" w:sz="8" w:space="0"/>
            </w:tcBorders>
            <w:noWrap w:val="0"/>
            <w:vAlign w:val="center"/>
          </w:tcPr>
          <w:p w14:paraId="0264AAFA">
            <w:pPr>
              <w:jc w:val="center"/>
              <w:rPr>
                <w:rFonts w:ascii="Times New Roman" w:hAnsi="Times New Roman"/>
                <w:sz w:val="18"/>
                <w:szCs w:val="15"/>
              </w:rPr>
            </w:pPr>
            <w:r>
              <w:rPr>
                <w:rFonts w:ascii="Times New Roman" w:hAnsi="Times New Roman"/>
                <w:sz w:val="18"/>
                <w:szCs w:val="15"/>
              </w:rPr>
              <w:t>论文名称</w:t>
            </w:r>
          </w:p>
        </w:tc>
        <w:tc>
          <w:tcPr>
            <w:tcW w:w="735" w:type="pct"/>
            <w:tcBorders>
              <w:top w:val="single" w:color="auto" w:sz="8" w:space="0"/>
              <w:left w:val="single" w:color="auto" w:sz="8" w:space="0"/>
              <w:bottom w:val="single" w:color="auto" w:sz="8" w:space="0"/>
              <w:right w:val="single" w:color="auto" w:sz="8" w:space="0"/>
            </w:tcBorders>
            <w:noWrap w:val="0"/>
            <w:vAlign w:val="center"/>
          </w:tcPr>
          <w:p w14:paraId="142344BD">
            <w:pPr>
              <w:jc w:val="center"/>
              <w:rPr>
                <w:rFonts w:ascii="Times New Roman" w:hAnsi="Times New Roman"/>
                <w:sz w:val="18"/>
                <w:szCs w:val="15"/>
              </w:rPr>
            </w:pPr>
            <w:r>
              <w:rPr>
                <w:rFonts w:ascii="Times New Roman" w:hAnsi="Times New Roman"/>
                <w:sz w:val="18"/>
                <w:szCs w:val="15"/>
              </w:rPr>
              <w:t>刊名</w:t>
            </w:r>
          </w:p>
        </w:tc>
        <w:tc>
          <w:tcPr>
            <w:tcW w:w="571" w:type="pct"/>
            <w:tcBorders>
              <w:top w:val="single" w:color="auto" w:sz="8" w:space="0"/>
              <w:left w:val="single" w:color="auto" w:sz="8" w:space="0"/>
              <w:bottom w:val="single" w:color="auto" w:sz="8" w:space="0"/>
              <w:right w:val="single" w:color="auto" w:sz="8" w:space="0"/>
            </w:tcBorders>
            <w:noWrap w:val="0"/>
            <w:vAlign w:val="center"/>
          </w:tcPr>
          <w:p w14:paraId="59502E2D">
            <w:pPr>
              <w:jc w:val="center"/>
              <w:rPr>
                <w:rFonts w:ascii="Times New Roman" w:hAnsi="Times New Roman"/>
                <w:sz w:val="18"/>
                <w:szCs w:val="15"/>
              </w:rPr>
            </w:pPr>
            <w:r>
              <w:rPr>
                <w:rFonts w:ascii="Times New Roman" w:hAnsi="Times New Roman"/>
                <w:sz w:val="18"/>
                <w:szCs w:val="15"/>
              </w:rPr>
              <w:t>出版年卷页码</w:t>
            </w:r>
          </w:p>
          <w:p w14:paraId="46F8976A">
            <w:pPr>
              <w:jc w:val="center"/>
              <w:rPr>
                <w:rFonts w:ascii="Times New Roman" w:hAnsi="Times New Roman"/>
                <w:sz w:val="18"/>
                <w:szCs w:val="15"/>
              </w:rPr>
            </w:pPr>
            <w:r>
              <w:rPr>
                <w:rFonts w:ascii="Times New Roman" w:hAnsi="Times New Roman"/>
                <w:sz w:val="18"/>
                <w:szCs w:val="15"/>
              </w:rPr>
              <w:t>（xx年xx月</w:t>
            </w:r>
          </w:p>
          <w:p w14:paraId="2E01DF47">
            <w:pPr>
              <w:jc w:val="center"/>
              <w:rPr>
                <w:rFonts w:ascii="Times New Roman" w:hAnsi="Times New Roman"/>
                <w:sz w:val="18"/>
                <w:szCs w:val="15"/>
              </w:rPr>
            </w:pPr>
            <w:r>
              <w:rPr>
                <w:rFonts w:ascii="Times New Roman" w:hAnsi="Times New Roman"/>
                <w:sz w:val="18"/>
                <w:szCs w:val="15"/>
              </w:rPr>
              <w:t>xx页）</w:t>
            </w:r>
          </w:p>
        </w:tc>
        <w:tc>
          <w:tcPr>
            <w:tcW w:w="462" w:type="pct"/>
            <w:tcBorders>
              <w:top w:val="single" w:color="auto" w:sz="8" w:space="0"/>
              <w:left w:val="single" w:color="auto" w:sz="8" w:space="0"/>
              <w:bottom w:val="single" w:color="auto" w:sz="8" w:space="0"/>
              <w:right w:val="single" w:color="auto" w:sz="8" w:space="0"/>
            </w:tcBorders>
            <w:noWrap w:val="0"/>
            <w:vAlign w:val="center"/>
          </w:tcPr>
          <w:p w14:paraId="38B970E5">
            <w:pPr>
              <w:jc w:val="center"/>
              <w:rPr>
                <w:rFonts w:hint="eastAsia" w:ascii="Times New Roman" w:hAnsi="Times New Roman" w:eastAsia="宋体"/>
                <w:sz w:val="18"/>
                <w:szCs w:val="15"/>
                <w:lang w:val="en-US" w:eastAsia="zh-CN"/>
              </w:rPr>
            </w:pPr>
            <w:r>
              <w:rPr>
                <w:rFonts w:hint="eastAsia" w:ascii="Times New Roman" w:hAnsi="Times New Roman"/>
                <w:sz w:val="18"/>
                <w:szCs w:val="15"/>
                <w:lang w:val="en-US" w:eastAsia="zh-CN"/>
              </w:rPr>
              <w:t>发表时间</w:t>
            </w:r>
          </w:p>
        </w:tc>
        <w:tc>
          <w:tcPr>
            <w:tcW w:w="430" w:type="pct"/>
            <w:tcBorders>
              <w:top w:val="single" w:color="auto" w:sz="8" w:space="0"/>
              <w:left w:val="single" w:color="auto" w:sz="8" w:space="0"/>
              <w:bottom w:val="single" w:color="auto" w:sz="8" w:space="0"/>
              <w:right w:val="single" w:color="auto" w:sz="8" w:space="0"/>
            </w:tcBorders>
            <w:noWrap w:val="0"/>
            <w:vAlign w:val="center"/>
          </w:tcPr>
          <w:p w14:paraId="69364864">
            <w:pPr>
              <w:jc w:val="center"/>
              <w:rPr>
                <w:rFonts w:hint="eastAsia" w:ascii="Times New Roman" w:hAnsi="Times New Roman" w:eastAsia="宋体"/>
                <w:sz w:val="18"/>
                <w:szCs w:val="15"/>
                <w:lang w:val="en-US" w:eastAsia="zh-CN"/>
              </w:rPr>
            </w:pPr>
            <w:r>
              <w:rPr>
                <w:rFonts w:hint="eastAsia" w:ascii="Times New Roman" w:hAnsi="Times New Roman"/>
                <w:sz w:val="18"/>
                <w:szCs w:val="15"/>
                <w:lang w:val="en-US" w:eastAsia="zh-CN"/>
              </w:rPr>
              <w:t>通讯作者</w:t>
            </w:r>
          </w:p>
        </w:tc>
        <w:tc>
          <w:tcPr>
            <w:tcW w:w="997" w:type="pct"/>
            <w:tcBorders>
              <w:top w:val="single" w:color="auto" w:sz="8" w:space="0"/>
              <w:left w:val="single" w:color="auto" w:sz="8" w:space="0"/>
              <w:bottom w:val="single" w:color="auto" w:sz="8" w:space="0"/>
              <w:right w:val="single" w:color="auto" w:sz="8" w:space="0"/>
            </w:tcBorders>
            <w:noWrap w:val="0"/>
            <w:vAlign w:val="center"/>
          </w:tcPr>
          <w:p w14:paraId="58846DA2">
            <w:pPr>
              <w:jc w:val="center"/>
              <w:rPr>
                <w:rFonts w:hint="eastAsia" w:ascii="Times New Roman" w:hAnsi="Times New Roman" w:eastAsia="宋体"/>
                <w:sz w:val="18"/>
                <w:szCs w:val="15"/>
                <w:lang w:eastAsia="zh-CN"/>
              </w:rPr>
            </w:pPr>
            <w:r>
              <w:rPr>
                <w:rFonts w:hint="eastAsia" w:ascii="Times New Roman" w:hAnsi="Times New Roman"/>
                <w:sz w:val="18"/>
                <w:szCs w:val="15"/>
                <w:lang w:eastAsia="zh-CN"/>
              </w:rPr>
              <w:t>全部作者</w:t>
            </w:r>
          </w:p>
        </w:tc>
        <w:tc>
          <w:tcPr>
            <w:tcW w:w="270" w:type="pct"/>
            <w:tcBorders>
              <w:top w:val="single" w:color="auto" w:sz="8" w:space="0"/>
              <w:left w:val="single" w:color="auto" w:sz="8" w:space="0"/>
              <w:bottom w:val="single" w:color="auto" w:sz="8" w:space="0"/>
              <w:right w:val="single" w:color="auto" w:sz="8" w:space="0"/>
            </w:tcBorders>
            <w:noWrap w:val="0"/>
            <w:vAlign w:val="center"/>
          </w:tcPr>
          <w:p w14:paraId="1988119F">
            <w:pPr>
              <w:jc w:val="center"/>
              <w:rPr>
                <w:rFonts w:hint="eastAsia" w:ascii="Times New Roman" w:hAnsi="Times New Roman" w:eastAsia="宋体"/>
                <w:sz w:val="18"/>
                <w:szCs w:val="15"/>
                <w:lang w:eastAsia="zh-CN"/>
              </w:rPr>
            </w:pPr>
            <w:r>
              <w:rPr>
                <w:rFonts w:hint="eastAsia" w:ascii="Times New Roman" w:hAnsi="Times New Roman"/>
                <w:sz w:val="18"/>
                <w:szCs w:val="15"/>
                <w:lang w:eastAsia="zh-CN"/>
              </w:rPr>
              <w:t>他引总次数</w:t>
            </w:r>
          </w:p>
        </w:tc>
      </w:tr>
      <w:tr w14:paraId="56A21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3C9745C8">
            <w:pPr>
              <w:jc w:val="center"/>
              <w:rPr>
                <w:rFonts w:hint="eastAsia" w:ascii="宋体" w:hAnsi="宋体" w:eastAsia="宋体" w:cs="宋体"/>
                <w:sz w:val="24"/>
                <w:szCs w:val="24"/>
              </w:rPr>
            </w:pPr>
            <w:r>
              <w:rPr>
                <w:rFonts w:hint="eastAsia" w:ascii="宋体" w:hAnsi="宋体" w:eastAsia="宋体" w:cs="宋体"/>
                <w:sz w:val="24"/>
                <w:szCs w:val="24"/>
              </w:rPr>
              <w:t>1</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2E1A2DDE">
            <w:pPr>
              <w:jc w:val="left"/>
              <w:rPr>
                <w:rFonts w:ascii="宋体" w:hAnsi="宋体" w:cs="宋体"/>
                <w:sz w:val="24"/>
                <w:szCs w:val="24"/>
              </w:rPr>
            </w:pPr>
            <w:r>
              <w:rPr>
                <w:rFonts w:ascii="宋体" w:hAnsi="宋体" w:cs="宋体"/>
                <w:sz w:val="24"/>
                <w:szCs w:val="24"/>
              </w:rPr>
              <w:t>MG149 Inhibits MOF-Mediated p53 Acetylation to Attenuate X-Ray</w:t>
            </w:r>
          </w:p>
          <w:p w14:paraId="2E716FF4">
            <w:pPr>
              <w:jc w:val="left"/>
              <w:rPr>
                <w:rFonts w:hint="eastAsia" w:ascii="宋体" w:hAnsi="宋体" w:eastAsia="宋体" w:cs="宋体"/>
                <w:kern w:val="2"/>
                <w:sz w:val="24"/>
                <w:szCs w:val="24"/>
                <w:lang w:val="en-US" w:eastAsia="zh-CN" w:bidi="ar-SA"/>
              </w:rPr>
            </w:pPr>
            <w:r>
              <w:rPr>
                <w:rFonts w:ascii="宋体" w:hAnsi="宋体" w:cs="宋体"/>
                <w:sz w:val="24"/>
                <w:szCs w:val="24"/>
              </w:rPr>
              <w:t>Radiation-Induced Apoptosis in H9c2 Cells</w:t>
            </w:r>
          </w:p>
        </w:tc>
        <w:tc>
          <w:tcPr>
            <w:tcW w:w="735" w:type="pct"/>
            <w:tcBorders>
              <w:top w:val="single" w:color="auto" w:sz="8" w:space="0"/>
              <w:left w:val="single" w:color="auto" w:sz="8" w:space="0"/>
              <w:bottom w:val="single" w:color="auto" w:sz="8" w:space="0"/>
              <w:right w:val="single" w:color="auto" w:sz="8" w:space="0"/>
            </w:tcBorders>
            <w:noWrap w:val="0"/>
            <w:vAlign w:val="top"/>
          </w:tcPr>
          <w:p w14:paraId="12CF5E8B">
            <w:pPr>
              <w:jc w:val="center"/>
              <w:rPr>
                <w:rFonts w:ascii="宋体" w:hAnsi="宋体" w:cs="宋体"/>
                <w:sz w:val="24"/>
                <w:szCs w:val="24"/>
              </w:rPr>
            </w:pPr>
            <w:r>
              <w:rPr>
                <w:rFonts w:ascii="宋体" w:hAnsi="宋体" w:cs="宋体"/>
                <w:sz w:val="24"/>
                <w:szCs w:val="24"/>
              </w:rPr>
              <w:t>Radiation</w:t>
            </w:r>
          </w:p>
          <w:p w14:paraId="2CBF2523">
            <w:pPr>
              <w:jc w:val="center"/>
              <w:rPr>
                <w:rFonts w:hint="eastAsia" w:ascii="宋体" w:hAnsi="宋体" w:eastAsia="宋体" w:cs="宋体"/>
                <w:kern w:val="2"/>
                <w:sz w:val="24"/>
                <w:szCs w:val="24"/>
                <w:lang w:val="en-US" w:eastAsia="zh-CN" w:bidi="ar-SA"/>
              </w:rPr>
            </w:pPr>
            <w:r>
              <w:rPr>
                <w:rFonts w:ascii="宋体" w:hAnsi="宋体" w:cs="宋体"/>
                <w:sz w:val="24"/>
                <w:szCs w:val="24"/>
              </w:rPr>
              <w:t>Research</w:t>
            </w:r>
          </w:p>
        </w:tc>
        <w:tc>
          <w:tcPr>
            <w:tcW w:w="571" w:type="pct"/>
            <w:tcBorders>
              <w:top w:val="single" w:color="auto" w:sz="8" w:space="0"/>
              <w:left w:val="single" w:color="auto" w:sz="8" w:space="0"/>
              <w:bottom w:val="single" w:color="auto" w:sz="8" w:space="0"/>
              <w:right w:val="single" w:color="auto" w:sz="8" w:space="0"/>
            </w:tcBorders>
            <w:noWrap w:val="0"/>
            <w:vAlign w:val="top"/>
          </w:tcPr>
          <w:p w14:paraId="5F06F796">
            <w:pPr>
              <w:jc w:val="left"/>
              <w:rPr>
                <w:rFonts w:hint="eastAsia" w:ascii="宋体" w:hAnsi="宋体" w:eastAsia="宋体" w:cs="宋体"/>
                <w:kern w:val="2"/>
                <w:sz w:val="24"/>
                <w:szCs w:val="24"/>
                <w:lang w:val="en-US" w:eastAsia="zh-CN" w:bidi="ar-SA"/>
              </w:rPr>
            </w:pPr>
            <w:r>
              <w:rPr>
                <w:rFonts w:ascii="宋体" w:hAnsi="宋体" w:cs="宋体"/>
                <w:sz w:val="24"/>
                <w:szCs w:val="24"/>
              </w:rPr>
              <w:t>2022,198(6):590-598</w:t>
            </w:r>
          </w:p>
        </w:tc>
        <w:tc>
          <w:tcPr>
            <w:tcW w:w="462" w:type="pct"/>
            <w:tcBorders>
              <w:top w:val="single" w:color="auto" w:sz="8" w:space="0"/>
              <w:left w:val="single" w:color="auto" w:sz="8" w:space="0"/>
              <w:bottom w:val="single" w:color="auto" w:sz="8" w:space="0"/>
              <w:right w:val="single" w:color="auto" w:sz="8" w:space="0"/>
            </w:tcBorders>
            <w:noWrap w:val="0"/>
            <w:vAlign w:val="top"/>
          </w:tcPr>
          <w:p w14:paraId="5E9ED4EF">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2022.12</w:t>
            </w:r>
          </w:p>
        </w:tc>
        <w:tc>
          <w:tcPr>
            <w:tcW w:w="430" w:type="pct"/>
            <w:tcBorders>
              <w:top w:val="single" w:color="auto" w:sz="8" w:space="0"/>
              <w:left w:val="single" w:color="auto" w:sz="8" w:space="0"/>
              <w:bottom w:val="single" w:color="auto" w:sz="8" w:space="0"/>
              <w:right w:val="single" w:color="auto" w:sz="8" w:space="0"/>
            </w:tcBorders>
            <w:noWrap w:val="0"/>
            <w:vAlign w:val="top"/>
          </w:tcPr>
          <w:p w14:paraId="3C0702D1">
            <w:pPr>
              <w:jc w:val="center"/>
              <w:rPr>
                <w:rFonts w:hint="eastAsia" w:ascii="宋体" w:hAnsi="宋体" w:cs="宋体"/>
                <w:sz w:val="24"/>
                <w:szCs w:val="24"/>
              </w:rPr>
            </w:pPr>
            <w:r>
              <w:rPr>
                <w:rFonts w:hint="eastAsia" w:ascii="宋体" w:hAnsi="宋体" w:cs="宋体"/>
                <w:sz w:val="24"/>
                <w:szCs w:val="24"/>
              </w:rPr>
              <w:t>李屹、</w:t>
            </w:r>
          </w:p>
          <w:p w14:paraId="174CA76F">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top"/>
          </w:tcPr>
          <w:p w14:paraId="2E52D179">
            <w:pPr>
              <w:jc w:val="center"/>
              <w:rPr>
                <w:rFonts w:hint="eastAsia" w:ascii="宋体" w:hAnsi="宋体" w:cs="宋体"/>
                <w:sz w:val="24"/>
                <w:szCs w:val="24"/>
              </w:rPr>
            </w:pPr>
            <w:r>
              <w:rPr>
                <w:rFonts w:hint="eastAsia" w:ascii="宋体" w:hAnsi="宋体" w:cs="宋体"/>
                <w:sz w:val="24"/>
                <w:szCs w:val="24"/>
              </w:rPr>
              <w:t>聂倩文、郇 轩、康静、尹江燕、赵嘉慧、李屹、</w:t>
            </w:r>
          </w:p>
          <w:p w14:paraId="5B04B45A">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270" w:type="pct"/>
            <w:tcBorders>
              <w:top w:val="single" w:color="auto" w:sz="8" w:space="0"/>
              <w:left w:val="single" w:color="auto" w:sz="8" w:space="0"/>
              <w:bottom w:val="single" w:color="auto" w:sz="8" w:space="0"/>
              <w:right w:val="single" w:color="auto" w:sz="8" w:space="0"/>
            </w:tcBorders>
            <w:noWrap w:val="0"/>
            <w:vAlign w:val="top"/>
          </w:tcPr>
          <w:p w14:paraId="1F6AC85C">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6</w:t>
            </w:r>
          </w:p>
        </w:tc>
      </w:tr>
      <w:tr w14:paraId="5840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3B15472C">
            <w:pPr>
              <w:jc w:val="center"/>
              <w:rPr>
                <w:rFonts w:hint="eastAsia" w:ascii="宋体" w:hAnsi="宋体" w:eastAsia="宋体" w:cs="宋体"/>
                <w:sz w:val="24"/>
                <w:szCs w:val="24"/>
              </w:rPr>
            </w:pPr>
            <w:r>
              <w:rPr>
                <w:rFonts w:hint="eastAsia" w:ascii="宋体" w:hAnsi="宋体" w:eastAsia="宋体" w:cs="宋体"/>
                <w:sz w:val="24"/>
                <w:szCs w:val="24"/>
              </w:rPr>
              <w:t>2</w:t>
            </w:r>
          </w:p>
        </w:tc>
        <w:tc>
          <w:tcPr>
            <w:tcW w:w="1323" w:type="pct"/>
            <w:tcBorders>
              <w:top w:val="single" w:color="auto" w:sz="8" w:space="0"/>
              <w:left w:val="single" w:color="auto" w:sz="8" w:space="0"/>
              <w:bottom w:val="single" w:color="auto" w:sz="8" w:space="0"/>
              <w:right w:val="single" w:color="auto" w:sz="8" w:space="0"/>
            </w:tcBorders>
            <w:noWrap w:val="0"/>
            <w:vAlign w:val="center"/>
          </w:tcPr>
          <w:p w14:paraId="342CF176">
            <w:pPr>
              <w:jc w:val="left"/>
              <w:rPr>
                <w:rFonts w:ascii="宋体" w:hAnsi="宋体" w:cs="宋体"/>
                <w:sz w:val="24"/>
                <w:szCs w:val="24"/>
              </w:rPr>
            </w:pPr>
            <w:r>
              <w:rPr>
                <w:rFonts w:ascii="宋体" w:hAnsi="宋体" w:cs="宋体"/>
                <w:sz w:val="24"/>
                <w:szCs w:val="24"/>
              </w:rPr>
              <w:t>Nebivolol combined with tetrahydrobiopterin affects</w:t>
            </w:r>
          </w:p>
          <w:p w14:paraId="0F62950D">
            <w:pPr>
              <w:jc w:val="left"/>
              <w:rPr>
                <w:rFonts w:ascii="宋体" w:hAnsi="宋体" w:cs="宋体"/>
                <w:sz w:val="24"/>
                <w:szCs w:val="24"/>
              </w:rPr>
            </w:pPr>
            <w:r>
              <w:rPr>
                <w:rFonts w:ascii="宋体" w:hAnsi="宋体" w:cs="宋体"/>
                <w:sz w:val="24"/>
                <w:szCs w:val="24"/>
              </w:rPr>
              <w:t>diastolic function in spontaneously hypertensive rats via</w:t>
            </w:r>
          </w:p>
          <w:p w14:paraId="1EB848C2">
            <w:pPr>
              <w:jc w:val="left"/>
              <w:rPr>
                <w:rFonts w:ascii="宋体" w:hAnsi="宋体" w:cs="宋体"/>
                <w:sz w:val="24"/>
                <w:szCs w:val="24"/>
              </w:rPr>
            </w:pPr>
            <w:r>
              <w:rPr>
                <w:rFonts w:ascii="宋体" w:hAnsi="宋体" w:cs="宋体"/>
                <w:sz w:val="24"/>
                <w:szCs w:val="24"/>
              </w:rPr>
              <w:t>the nitric oxide/cyclic guanosine monophosphate signalling</w:t>
            </w:r>
          </w:p>
          <w:p w14:paraId="202ECD63">
            <w:pPr>
              <w:jc w:val="left"/>
              <w:rPr>
                <w:rFonts w:hint="eastAsia" w:ascii="宋体" w:hAnsi="宋体" w:eastAsia="宋体" w:cs="宋体"/>
                <w:kern w:val="2"/>
                <w:sz w:val="24"/>
                <w:szCs w:val="24"/>
                <w:lang w:val="en-US" w:eastAsia="zh-CN" w:bidi="ar-SA"/>
              </w:rPr>
            </w:pPr>
            <w:r>
              <w:rPr>
                <w:rFonts w:ascii="宋体" w:hAnsi="宋体" w:cs="宋体"/>
                <w:sz w:val="24"/>
                <w:szCs w:val="24"/>
              </w:rPr>
              <w:t>pathway</w:t>
            </w:r>
          </w:p>
        </w:tc>
        <w:tc>
          <w:tcPr>
            <w:tcW w:w="735" w:type="pct"/>
            <w:tcBorders>
              <w:top w:val="single" w:color="auto" w:sz="8" w:space="0"/>
              <w:left w:val="single" w:color="auto" w:sz="8" w:space="0"/>
              <w:bottom w:val="single" w:color="auto" w:sz="8" w:space="0"/>
              <w:right w:val="single" w:color="auto" w:sz="8" w:space="0"/>
            </w:tcBorders>
            <w:noWrap w:val="0"/>
            <w:vAlign w:val="center"/>
          </w:tcPr>
          <w:p w14:paraId="2019B308">
            <w:pPr>
              <w:jc w:val="center"/>
              <w:rPr>
                <w:rFonts w:ascii="宋体" w:hAnsi="宋体" w:cs="宋体"/>
                <w:sz w:val="24"/>
                <w:szCs w:val="24"/>
              </w:rPr>
            </w:pPr>
            <w:r>
              <w:rPr>
                <w:rFonts w:ascii="宋体" w:hAnsi="宋体" w:cs="宋体"/>
                <w:sz w:val="24"/>
                <w:szCs w:val="24"/>
              </w:rPr>
              <w:t>BMC</w:t>
            </w:r>
          </w:p>
          <w:p w14:paraId="35238408">
            <w:pPr>
              <w:jc w:val="center"/>
              <w:rPr>
                <w:rFonts w:ascii="宋体" w:hAnsi="宋体" w:cs="宋体"/>
                <w:sz w:val="24"/>
                <w:szCs w:val="24"/>
              </w:rPr>
            </w:pPr>
            <w:r>
              <w:rPr>
                <w:rFonts w:ascii="宋体" w:hAnsi="宋体" w:cs="宋体"/>
                <w:sz w:val="24"/>
                <w:szCs w:val="24"/>
              </w:rPr>
              <w:t>Pharmacology</w:t>
            </w:r>
          </w:p>
          <w:p w14:paraId="7B365C10">
            <w:pPr>
              <w:jc w:val="center"/>
              <w:rPr>
                <w:rFonts w:ascii="宋体" w:hAnsi="宋体" w:cs="宋体"/>
                <w:sz w:val="24"/>
                <w:szCs w:val="24"/>
              </w:rPr>
            </w:pPr>
            <w:r>
              <w:rPr>
                <w:rFonts w:ascii="宋体" w:hAnsi="宋体" w:cs="宋体"/>
                <w:sz w:val="24"/>
                <w:szCs w:val="24"/>
              </w:rPr>
              <w:t>and</w:t>
            </w:r>
          </w:p>
          <w:p w14:paraId="0F3A47D0">
            <w:pPr>
              <w:jc w:val="center"/>
              <w:rPr>
                <w:rFonts w:hint="eastAsia" w:ascii="宋体" w:hAnsi="宋体" w:eastAsia="宋体" w:cs="宋体"/>
                <w:kern w:val="2"/>
                <w:sz w:val="24"/>
                <w:szCs w:val="24"/>
                <w:lang w:val="en-US" w:eastAsia="zh-CN" w:bidi="ar-SA"/>
              </w:rPr>
            </w:pPr>
            <w:r>
              <w:rPr>
                <w:rFonts w:ascii="宋体" w:hAnsi="宋体" w:cs="宋体"/>
                <w:sz w:val="24"/>
                <w:szCs w:val="24"/>
              </w:rPr>
              <w:t>Toxicology</w:t>
            </w:r>
          </w:p>
        </w:tc>
        <w:tc>
          <w:tcPr>
            <w:tcW w:w="571" w:type="pct"/>
            <w:tcBorders>
              <w:top w:val="single" w:color="auto" w:sz="8" w:space="0"/>
              <w:left w:val="single" w:color="auto" w:sz="8" w:space="0"/>
              <w:bottom w:val="single" w:color="auto" w:sz="8" w:space="0"/>
              <w:right w:val="single" w:color="auto" w:sz="8" w:space="0"/>
            </w:tcBorders>
            <w:noWrap w:val="0"/>
            <w:vAlign w:val="center"/>
          </w:tcPr>
          <w:p w14:paraId="0B567EC3">
            <w:pPr>
              <w:jc w:val="left"/>
              <w:rPr>
                <w:rFonts w:ascii="宋体" w:hAnsi="宋体" w:cs="宋体"/>
                <w:sz w:val="24"/>
                <w:szCs w:val="24"/>
              </w:rPr>
            </w:pPr>
            <w:r>
              <w:rPr>
                <w:rFonts w:ascii="宋体" w:hAnsi="宋体" w:cs="宋体"/>
                <w:sz w:val="24"/>
                <w:szCs w:val="24"/>
              </w:rPr>
              <w:t>2020 Dec</w:t>
            </w:r>
          </w:p>
          <w:p w14:paraId="53A1C662">
            <w:pPr>
              <w:jc w:val="left"/>
              <w:rPr>
                <w:rFonts w:hint="eastAsia" w:ascii="宋体" w:hAnsi="宋体" w:eastAsia="宋体" w:cs="宋体"/>
                <w:kern w:val="2"/>
                <w:sz w:val="24"/>
                <w:szCs w:val="24"/>
                <w:lang w:val="en-US" w:eastAsia="zh-CN" w:bidi="ar-SA"/>
              </w:rPr>
            </w:pPr>
            <w:r>
              <w:rPr>
                <w:rFonts w:ascii="宋体" w:hAnsi="宋体" w:cs="宋体"/>
                <w:sz w:val="24"/>
                <w:szCs w:val="24"/>
              </w:rPr>
              <w:t>2;21(1):84</w:t>
            </w:r>
          </w:p>
        </w:tc>
        <w:tc>
          <w:tcPr>
            <w:tcW w:w="462" w:type="pct"/>
            <w:tcBorders>
              <w:top w:val="single" w:color="auto" w:sz="8" w:space="0"/>
              <w:left w:val="single" w:color="auto" w:sz="8" w:space="0"/>
              <w:bottom w:val="single" w:color="auto" w:sz="8" w:space="0"/>
              <w:right w:val="single" w:color="auto" w:sz="8" w:space="0"/>
            </w:tcBorders>
            <w:noWrap w:val="0"/>
            <w:vAlign w:val="center"/>
          </w:tcPr>
          <w:p w14:paraId="59494E0A">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2020.12</w:t>
            </w:r>
          </w:p>
        </w:tc>
        <w:tc>
          <w:tcPr>
            <w:tcW w:w="430" w:type="pct"/>
            <w:tcBorders>
              <w:top w:val="single" w:color="auto" w:sz="8" w:space="0"/>
              <w:left w:val="single" w:color="auto" w:sz="8" w:space="0"/>
              <w:bottom w:val="single" w:color="auto" w:sz="8" w:space="0"/>
              <w:right w:val="single" w:color="auto" w:sz="8" w:space="0"/>
            </w:tcBorders>
            <w:noWrap w:val="0"/>
            <w:vAlign w:val="center"/>
          </w:tcPr>
          <w:p w14:paraId="33B1F411">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center"/>
          </w:tcPr>
          <w:p w14:paraId="4CDA87CC">
            <w:pPr>
              <w:jc w:val="center"/>
              <w:rPr>
                <w:rFonts w:hint="eastAsia" w:ascii="宋体" w:hAnsi="宋体" w:cs="宋体"/>
                <w:sz w:val="24"/>
                <w:szCs w:val="24"/>
              </w:rPr>
            </w:pPr>
            <w:r>
              <w:rPr>
                <w:rFonts w:hint="eastAsia" w:ascii="宋体" w:hAnsi="宋体" w:cs="宋体"/>
                <w:sz w:val="24"/>
                <w:szCs w:val="24"/>
              </w:rPr>
              <w:t>关晓丽、关晓英、卢昌宏、商波、赵嫄、蒙颖、</w:t>
            </w:r>
          </w:p>
          <w:p w14:paraId="732F6A2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270" w:type="pct"/>
            <w:tcBorders>
              <w:top w:val="single" w:color="auto" w:sz="8" w:space="0"/>
              <w:left w:val="single" w:color="auto" w:sz="8" w:space="0"/>
              <w:bottom w:val="single" w:color="auto" w:sz="8" w:space="0"/>
              <w:right w:val="single" w:color="auto" w:sz="8" w:space="0"/>
            </w:tcBorders>
            <w:noWrap w:val="0"/>
            <w:vAlign w:val="center"/>
          </w:tcPr>
          <w:p w14:paraId="6F977446">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6</w:t>
            </w:r>
          </w:p>
        </w:tc>
      </w:tr>
      <w:tr w14:paraId="0690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4B02C5FB">
            <w:pPr>
              <w:jc w:val="center"/>
              <w:rPr>
                <w:rFonts w:hint="eastAsia" w:ascii="宋体" w:hAnsi="宋体" w:eastAsia="宋体" w:cs="宋体"/>
                <w:sz w:val="24"/>
                <w:szCs w:val="24"/>
              </w:rPr>
            </w:pPr>
            <w:r>
              <w:rPr>
                <w:rFonts w:hint="eastAsia" w:ascii="宋体" w:hAnsi="宋体" w:eastAsia="宋体" w:cs="宋体"/>
                <w:sz w:val="24"/>
                <w:szCs w:val="24"/>
              </w:rPr>
              <w:t>3</w:t>
            </w:r>
          </w:p>
        </w:tc>
        <w:tc>
          <w:tcPr>
            <w:tcW w:w="1323" w:type="pct"/>
            <w:tcBorders>
              <w:top w:val="single" w:color="auto" w:sz="8" w:space="0"/>
              <w:left w:val="single" w:color="auto" w:sz="8" w:space="0"/>
              <w:bottom w:val="single" w:color="auto" w:sz="8" w:space="0"/>
              <w:right w:val="single" w:color="auto" w:sz="8" w:space="0"/>
            </w:tcBorders>
            <w:noWrap w:val="0"/>
            <w:vAlign w:val="center"/>
          </w:tcPr>
          <w:p w14:paraId="664D1925">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赖氨酸乙酰化的动态调节在心脏疾病中的研究进展</w:t>
            </w:r>
          </w:p>
        </w:tc>
        <w:tc>
          <w:tcPr>
            <w:tcW w:w="735" w:type="pct"/>
            <w:tcBorders>
              <w:top w:val="single" w:color="auto" w:sz="8" w:space="0"/>
              <w:left w:val="single" w:color="auto" w:sz="8" w:space="0"/>
              <w:bottom w:val="single" w:color="auto" w:sz="8" w:space="0"/>
              <w:right w:val="single" w:color="auto" w:sz="8" w:space="0"/>
            </w:tcBorders>
            <w:noWrap w:val="0"/>
            <w:vAlign w:val="center"/>
          </w:tcPr>
          <w:p w14:paraId="17353A2D">
            <w:pPr>
              <w:jc w:val="center"/>
              <w:rPr>
                <w:rFonts w:hint="eastAsia" w:ascii="宋体" w:hAnsi="宋体" w:cs="宋体"/>
                <w:sz w:val="24"/>
                <w:szCs w:val="24"/>
              </w:rPr>
            </w:pPr>
            <w:r>
              <w:rPr>
                <w:rFonts w:hint="eastAsia" w:ascii="宋体" w:hAnsi="宋体" w:cs="宋体"/>
                <w:sz w:val="24"/>
                <w:szCs w:val="24"/>
              </w:rPr>
              <w:t>中国临床药理</w:t>
            </w:r>
          </w:p>
          <w:p w14:paraId="6D493BB0">
            <w:pPr>
              <w:jc w:val="center"/>
              <w:rPr>
                <w:rFonts w:ascii="宋体" w:hAnsi="宋体" w:cs="宋体"/>
                <w:sz w:val="24"/>
                <w:szCs w:val="24"/>
              </w:rPr>
            </w:pPr>
            <w:r>
              <w:rPr>
                <w:rFonts w:hint="eastAsia" w:ascii="宋体" w:hAnsi="宋体" w:cs="宋体"/>
                <w:sz w:val="24"/>
                <w:szCs w:val="24"/>
              </w:rPr>
              <w:t>学与治疗学</w:t>
            </w:r>
          </w:p>
          <w:p w14:paraId="6B40FD03">
            <w:pPr>
              <w:jc w:val="center"/>
              <w:rPr>
                <w:rFonts w:hint="eastAsia" w:ascii="宋体" w:hAnsi="宋体" w:eastAsia="宋体" w:cs="宋体"/>
                <w:kern w:val="2"/>
                <w:sz w:val="24"/>
                <w:szCs w:val="24"/>
                <w:lang w:val="en-US" w:eastAsia="zh-CN" w:bidi="ar-SA"/>
              </w:rPr>
            </w:pPr>
          </w:p>
        </w:tc>
        <w:tc>
          <w:tcPr>
            <w:tcW w:w="571" w:type="pct"/>
            <w:tcBorders>
              <w:top w:val="single" w:color="auto" w:sz="8" w:space="0"/>
              <w:left w:val="single" w:color="auto" w:sz="8" w:space="0"/>
              <w:bottom w:val="single" w:color="auto" w:sz="8" w:space="0"/>
              <w:right w:val="single" w:color="auto" w:sz="8" w:space="0"/>
            </w:tcBorders>
            <w:noWrap w:val="0"/>
            <w:vAlign w:val="center"/>
          </w:tcPr>
          <w:p w14:paraId="3A3E0E22">
            <w:pPr>
              <w:jc w:val="left"/>
              <w:rPr>
                <w:rFonts w:hint="eastAsia" w:ascii="宋体" w:hAnsi="宋体" w:cs="宋体"/>
                <w:sz w:val="24"/>
                <w:szCs w:val="24"/>
              </w:rPr>
            </w:pPr>
            <w:r>
              <w:rPr>
                <w:rFonts w:hint="eastAsia" w:ascii="宋体" w:hAnsi="宋体" w:cs="宋体"/>
                <w:sz w:val="24"/>
                <w:szCs w:val="24"/>
              </w:rPr>
              <w:t>2021；26（10</w:t>
            </w:r>
          </w:p>
          <w:p w14:paraId="69008AF0">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）：1186-1192</w:t>
            </w:r>
          </w:p>
        </w:tc>
        <w:tc>
          <w:tcPr>
            <w:tcW w:w="462" w:type="pct"/>
            <w:tcBorders>
              <w:top w:val="single" w:color="auto" w:sz="8" w:space="0"/>
              <w:left w:val="single" w:color="auto" w:sz="8" w:space="0"/>
              <w:bottom w:val="single" w:color="auto" w:sz="8" w:space="0"/>
              <w:right w:val="single" w:color="auto" w:sz="8" w:space="0"/>
            </w:tcBorders>
            <w:noWrap w:val="0"/>
            <w:vAlign w:val="center"/>
          </w:tcPr>
          <w:p w14:paraId="63291FF6">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2021.10</w:t>
            </w:r>
          </w:p>
        </w:tc>
        <w:tc>
          <w:tcPr>
            <w:tcW w:w="430" w:type="pct"/>
            <w:tcBorders>
              <w:top w:val="single" w:color="auto" w:sz="8" w:space="0"/>
              <w:left w:val="single" w:color="auto" w:sz="8" w:space="0"/>
              <w:bottom w:val="single" w:color="auto" w:sz="8" w:space="0"/>
              <w:right w:val="single" w:color="auto" w:sz="8" w:space="0"/>
            </w:tcBorders>
            <w:noWrap w:val="0"/>
            <w:vAlign w:val="center"/>
          </w:tcPr>
          <w:p w14:paraId="030E1CBC">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center"/>
          </w:tcPr>
          <w:p w14:paraId="5B5A40D8">
            <w:pPr>
              <w:jc w:val="center"/>
              <w:rPr>
                <w:rFonts w:hint="eastAsia" w:ascii="宋体" w:hAnsi="宋体" w:cs="宋体"/>
                <w:sz w:val="24"/>
                <w:szCs w:val="24"/>
              </w:rPr>
            </w:pPr>
            <w:r>
              <w:rPr>
                <w:rFonts w:hint="eastAsia" w:ascii="宋体" w:hAnsi="宋体" w:cs="宋体"/>
                <w:sz w:val="24"/>
                <w:szCs w:val="24"/>
              </w:rPr>
              <w:t>赵嫄、聂倩文、尹江燕、郇 轩、田梅香、张正</w:t>
            </w:r>
          </w:p>
          <w:p w14:paraId="32740F5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义</w:t>
            </w:r>
          </w:p>
        </w:tc>
        <w:tc>
          <w:tcPr>
            <w:tcW w:w="270" w:type="pct"/>
            <w:tcBorders>
              <w:top w:val="single" w:color="auto" w:sz="8" w:space="0"/>
              <w:left w:val="single" w:color="auto" w:sz="8" w:space="0"/>
              <w:bottom w:val="single" w:color="auto" w:sz="8" w:space="0"/>
              <w:right w:val="single" w:color="auto" w:sz="8" w:space="0"/>
            </w:tcBorders>
            <w:noWrap w:val="0"/>
            <w:vAlign w:val="center"/>
          </w:tcPr>
          <w:p w14:paraId="4BDFE3D8">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0</w:t>
            </w:r>
          </w:p>
        </w:tc>
      </w:tr>
      <w:tr w14:paraId="59D5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71EB8C4A">
            <w:pPr>
              <w:jc w:val="center"/>
              <w:rPr>
                <w:rFonts w:hint="eastAsia" w:ascii="宋体" w:hAnsi="宋体" w:eastAsia="宋体" w:cs="宋体"/>
                <w:sz w:val="24"/>
                <w:szCs w:val="24"/>
              </w:rPr>
            </w:pPr>
            <w:r>
              <w:rPr>
                <w:rFonts w:hint="eastAsia" w:ascii="宋体" w:hAnsi="宋体" w:eastAsia="宋体" w:cs="宋体"/>
                <w:sz w:val="24"/>
                <w:szCs w:val="24"/>
              </w:rPr>
              <w:t>4</w:t>
            </w:r>
          </w:p>
        </w:tc>
        <w:tc>
          <w:tcPr>
            <w:tcW w:w="1323" w:type="pct"/>
            <w:tcBorders>
              <w:top w:val="single" w:color="auto" w:sz="8" w:space="0"/>
              <w:left w:val="single" w:color="auto" w:sz="8" w:space="0"/>
              <w:bottom w:val="single" w:color="auto" w:sz="8" w:space="0"/>
              <w:right w:val="single" w:color="auto" w:sz="8" w:space="0"/>
            </w:tcBorders>
            <w:noWrap w:val="0"/>
            <w:vAlign w:val="center"/>
          </w:tcPr>
          <w:p w14:paraId="58519300">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四氢生物蝶呤对缺氧引起心肌细胞损伤的影响及其机制研究</w:t>
            </w:r>
          </w:p>
        </w:tc>
        <w:tc>
          <w:tcPr>
            <w:tcW w:w="735" w:type="pct"/>
            <w:tcBorders>
              <w:top w:val="single" w:color="auto" w:sz="8" w:space="0"/>
              <w:left w:val="single" w:color="auto" w:sz="8" w:space="0"/>
              <w:bottom w:val="single" w:color="auto" w:sz="8" w:space="0"/>
              <w:right w:val="single" w:color="auto" w:sz="8" w:space="0"/>
            </w:tcBorders>
            <w:noWrap w:val="0"/>
            <w:vAlign w:val="center"/>
          </w:tcPr>
          <w:p w14:paraId="5F38CDDB">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甘肃医药</w:t>
            </w:r>
          </w:p>
        </w:tc>
        <w:tc>
          <w:tcPr>
            <w:tcW w:w="571" w:type="pct"/>
            <w:tcBorders>
              <w:top w:val="single" w:color="auto" w:sz="8" w:space="0"/>
              <w:left w:val="single" w:color="auto" w:sz="8" w:space="0"/>
              <w:bottom w:val="single" w:color="auto" w:sz="8" w:space="0"/>
              <w:right w:val="single" w:color="auto" w:sz="8" w:space="0"/>
            </w:tcBorders>
            <w:noWrap w:val="0"/>
            <w:vAlign w:val="center"/>
          </w:tcPr>
          <w:p w14:paraId="1515485A">
            <w:pPr>
              <w:jc w:val="left"/>
              <w:rPr>
                <w:rFonts w:hint="eastAsia" w:ascii="宋体" w:hAnsi="宋体" w:eastAsia="宋体" w:cs="宋体"/>
                <w:kern w:val="2"/>
                <w:sz w:val="24"/>
                <w:szCs w:val="24"/>
                <w:lang w:val="en-US" w:eastAsia="zh-CN" w:bidi="ar-SA"/>
              </w:rPr>
            </w:pPr>
            <w:r>
              <w:rPr>
                <w:rFonts w:ascii="宋体" w:hAnsi="宋体" w:cs="宋体"/>
                <w:sz w:val="24"/>
                <w:szCs w:val="24"/>
              </w:rPr>
              <w:t>2019,38(10):870-872</w:t>
            </w:r>
          </w:p>
        </w:tc>
        <w:tc>
          <w:tcPr>
            <w:tcW w:w="462" w:type="pct"/>
            <w:tcBorders>
              <w:top w:val="single" w:color="auto" w:sz="8" w:space="0"/>
              <w:left w:val="single" w:color="auto" w:sz="8" w:space="0"/>
              <w:bottom w:val="single" w:color="auto" w:sz="8" w:space="0"/>
              <w:right w:val="single" w:color="auto" w:sz="8" w:space="0"/>
            </w:tcBorders>
            <w:noWrap w:val="0"/>
            <w:vAlign w:val="center"/>
          </w:tcPr>
          <w:p w14:paraId="296CC0D0">
            <w:pPr>
              <w:jc w:val="center"/>
              <w:rPr>
                <w:rFonts w:hint="eastAsia" w:ascii="宋体" w:hAnsi="宋体" w:eastAsia="宋体" w:cs="宋体"/>
                <w:kern w:val="2"/>
                <w:sz w:val="24"/>
                <w:szCs w:val="24"/>
                <w:lang w:val="en-US" w:eastAsia="zh-CN" w:bidi="ar-SA"/>
              </w:rPr>
            </w:pPr>
            <w:r>
              <w:rPr>
                <w:rFonts w:hint="eastAsia" w:ascii="宋体" w:hAnsi="宋体" w:cs="宋体"/>
                <w:szCs w:val="21"/>
              </w:rPr>
              <w:t>2019.10</w:t>
            </w:r>
          </w:p>
        </w:tc>
        <w:tc>
          <w:tcPr>
            <w:tcW w:w="430" w:type="pct"/>
            <w:tcBorders>
              <w:top w:val="single" w:color="auto" w:sz="8" w:space="0"/>
              <w:left w:val="single" w:color="auto" w:sz="8" w:space="0"/>
              <w:bottom w:val="single" w:color="auto" w:sz="8" w:space="0"/>
              <w:right w:val="single" w:color="auto" w:sz="8" w:space="0"/>
            </w:tcBorders>
            <w:noWrap w:val="0"/>
            <w:vAlign w:val="center"/>
          </w:tcPr>
          <w:p w14:paraId="0FDED02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center"/>
          </w:tcPr>
          <w:p w14:paraId="270ED062">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关晓丽、卢昌宏、张正义</w:t>
            </w:r>
          </w:p>
        </w:tc>
        <w:tc>
          <w:tcPr>
            <w:tcW w:w="270" w:type="pct"/>
            <w:tcBorders>
              <w:top w:val="single" w:color="auto" w:sz="8" w:space="0"/>
              <w:left w:val="single" w:color="auto" w:sz="8" w:space="0"/>
              <w:bottom w:val="single" w:color="auto" w:sz="8" w:space="0"/>
              <w:right w:val="single" w:color="auto" w:sz="8" w:space="0"/>
            </w:tcBorders>
            <w:noWrap w:val="0"/>
            <w:vAlign w:val="center"/>
          </w:tcPr>
          <w:p w14:paraId="0EC848C4">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w:t>
            </w:r>
          </w:p>
        </w:tc>
      </w:tr>
      <w:tr w14:paraId="3384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6C45E703">
            <w:pPr>
              <w:jc w:val="center"/>
              <w:rPr>
                <w:rFonts w:hint="eastAsia" w:ascii="宋体" w:hAnsi="宋体" w:eastAsia="宋体" w:cs="宋体"/>
                <w:sz w:val="24"/>
                <w:szCs w:val="24"/>
              </w:rPr>
            </w:pPr>
            <w:r>
              <w:rPr>
                <w:rFonts w:hint="eastAsia" w:ascii="宋体" w:hAnsi="宋体" w:eastAsia="宋体" w:cs="宋体"/>
                <w:sz w:val="24"/>
                <w:szCs w:val="24"/>
              </w:rPr>
              <w:t>5</w:t>
            </w:r>
          </w:p>
        </w:tc>
        <w:tc>
          <w:tcPr>
            <w:tcW w:w="1323" w:type="pct"/>
            <w:tcBorders>
              <w:top w:val="single" w:color="auto" w:sz="8" w:space="0"/>
              <w:left w:val="single" w:color="auto" w:sz="8" w:space="0"/>
              <w:bottom w:val="single" w:color="auto" w:sz="8" w:space="0"/>
              <w:right w:val="single" w:color="auto" w:sz="8" w:space="0"/>
            </w:tcBorders>
            <w:noWrap w:val="0"/>
            <w:vAlign w:val="center"/>
          </w:tcPr>
          <w:p w14:paraId="62F2C54D">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硝酸盐-亚硝酸盐-一氧化氮途径与射血分数保留的心力衰竭关系的研究进展</w:t>
            </w:r>
          </w:p>
        </w:tc>
        <w:tc>
          <w:tcPr>
            <w:tcW w:w="735" w:type="pct"/>
            <w:tcBorders>
              <w:top w:val="single" w:color="auto" w:sz="8" w:space="0"/>
              <w:left w:val="single" w:color="auto" w:sz="8" w:space="0"/>
              <w:bottom w:val="single" w:color="auto" w:sz="8" w:space="0"/>
              <w:right w:val="single" w:color="auto" w:sz="8" w:space="0"/>
            </w:tcBorders>
            <w:noWrap w:val="0"/>
            <w:vAlign w:val="center"/>
          </w:tcPr>
          <w:p w14:paraId="47D83AEA">
            <w:pPr>
              <w:jc w:val="center"/>
              <w:rPr>
                <w:rFonts w:hint="eastAsia" w:ascii="宋体" w:hAnsi="宋体" w:cs="宋体"/>
                <w:sz w:val="24"/>
                <w:szCs w:val="24"/>
              </w:rPr>
            </w:pPr>
            <w:r>
              <w:rPr>
                <w:rFonts w:hint="eastAsia" w:ascii="宋体" w:hAnsi="宋体" w:cs="宋体"/>
                <w:sz w:val="24"/>
                <w:szCs w:val="24"/>
              </w:rPr>
              <w:t>中华心血管病</w:t>
            </w:r>
          </w:p>
          <w:p w14:paraId="448C0703">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杂志</w:t>
            </w:r>
          </w:p>
        </w:tc>
        <w:tc>
          <w:tcPr>
            <w:tcW w:w="571" w:type="pct"/>
            <w:tcBorders>
              <w:top w:val="single" w:color="auto" w:sz="8" w:space="0"/>
              <w:left w:val="single" w:color="auto" w:sz="8" w:space="0"/>
              <w:bottom w:val="single" w:color="auto" w:sz="8" w:space="0"/>
              <w:right w:val="single" w:color="auto" w:sz="8" w:space="0"/>
            </w:tcBorders>
            <w:noWrap w:val="0"/>
            <w:vAlign w:val="center"/>
          </w:tcPr>
          <w:p w14:paraId="6B812E33">
            <w:pPr>
              <w:jc w:val="left"/>
              <w:rPr>
                <w:rFonts w:hint="eastAsia" w:ascii="宋体" w:hAnsi="宋体" w:eastAsia="宋体" w:cs="宋体"/>
                <w:kern w:val="2"/>
                <w:sz w:val="24"/>
                <w:szCs w:val="24"/>
                <w:lang w:val="en-US" w:eastAsia="zh-CN" w:bidi="ar-SA"/>
              </w:rPr>
            </w:pPr>
            <w:r>
              <w:rPr>
                <w:rFonts w:ascii="宋体" w:hAnsi="宋体" w:cs="宋体"/>
                <w:sz w:val="24"/>
                <w:szCs w:val="24"/>
              </w:rPr>
              <w:t>2017,45(09):807-809</w:t>
            </w:r>
          </w:p>
        </w:tc>
        <w:tc>
          <w:tcPr>
            <w:tcW w:w="462" w:type="pct"/>
            <w:tcBorders>
              <w:top w:val="single" w:color="auto" w:sz="8" w:space="0"/>
              <w:left w:val="single" w:color="auto" w:sz="8" w:space="0"/>
              <w:bottom w:val="single" w:color="auto" w:sz="8" w:space="0"/>
              <w:right w:val="single" w:color="auto" w:sz="8" w:space="0"/>
            </w:tcBorders>
            <w:noWrap w:val="0"/>
            <w:vAlign w:val="center"/>
          </w:tcPr>
          <w:p w14:paraId="218B52C4">
            <w:pPr>
              <w:jc w:val="center"/>
              <w:rPr>
                <w:rFonts w:hint="eastAsia" w:ascii="宋体" w:hAnsi="宋体" w:eastAsia="宋体" w:cs="宋体"/>
                <w:kern w:val="2"/>
                <w:sz w:val="24"/>
                <w:szCs w:val="24"/>
                <w:lang w:val="en-US" w:eastAsia="zh-CN" w:bidi="ar-SA"/>
              </w:rPr>
            </w:pPr>
            <w:r>
              <w:rPr>
                <w:rFonts w:hint="eastAsia" w:ascii="宋体" w:hAnsi="宋体" w:cs="宋体"/>
                <w:szCs w:val="21"/>
              </w:rPr>
              <w:t>2017.09</w:t>
            </w:r>
          </w:p>
        </w:tc>
        <w:tc>
          <w:tcPr>
            <w:tcW w:w="430" w:type="pct"/>
            <w:tcBorders>
              <w:top w:val="single" w:color="auto" w:sz="8" w:space="0"/>
              <w:left w:val="single" w:color="auto" w:sz="8" w:space="0"/>
              <w:bottom w:val="single" w:color="auto" w:sz="8" w:space="0"/>
              <w:right w:val="single" w:color="auto" w:sz="8" w:space="0"/>
            </w:tcBorders>
            <w:noWrap w:val="0"/>
            <w:vAlign w:val="center"/>
          </w:tcPr>
          <w:p w14:paraId="11BB2142">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center"/>
          </w:tcPr>
          <w:p w14:paraId="04AFF36B">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蒙颖、张正义</w:t>
            </w:r>
          </w:p>
        </w:tc>
        <w:tc>
          <w:tcPr>
            <w:tcW w:w="270" w:type="pct"/>
            <w:tcBorders>
              <w:top w:val="single" w:color="auto" w:sz="8" w:space="0"/>
              <w:left w:val="single" w:color="auto" w:sz="8" w:space="0"/>
              <w:bottom w:val="single" w:color="auto" w:sz="8" w:space="0"/>
              <w:right w:val="single" w:color="auto" w:sz="8" w:space="0"/>
            </w:tcBorders>
            <w:noWrap w:val="0"/>
            <w:vAlign w:val="center"/>
          </w:tcPr>
          <w:p w14:paraId="09B44F8C">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1</w:t>
            </w:r>
          </w:p>
        </w:tc>
      </w:tr>
      <w:tr w14:paraId="001FE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3ADCDC8C">
            <w:pPr>
              <w:jc w:val="center"/>
              <w:rPr>
                <w:rFonts w:hint="eastAsia" w:ascii="宋体" w:hAnsi="宋体" w:eastAsia="宋体" w:cs="宋体"/>
                <w:sz w:val="24"/>
                <w:szCs w:val="24"/>
              </w:rPr>
            </w:pPr>
            <w:r>
              <w:rPr>
                <w:rFonts w:hint="eastAsia" w:ascii="宋体" w:hAnsi="宋体" w:eastAsia="宋体" w:cs="宋体"/>
                <w:sz w:val="24"/>
                <w:szCs w:val="24"/>
              </w:rPr>
              <w:t>6</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587CDF6B">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放射性心脏病的临床分型、分子机制及防治性研究进展</w:t>
            </w:r>
          </w:p>
        </w:tc>
        <w:tc>
          <w:tcPr>
            <w:tcW w:w="735" w:type="pct"/>
            <w:tcBorders>
              <w:top w:val="single" w:color="auto" w:sz="8" w:space="0"/>
              <w:left w:val="single" w:color="auto" w:sz="8" w:space="0"/>
              <w:bottom w:val="single" w:color="auto" w:sz="8" w:space="0"/>
              <w:right w:val="single" w:color="auto" w:sz="8" w:space="0"/>
            </w:tcBorders>
            <w:noWrap w:val="0"/>
            <w:vAlign w:val="top"/>
          </w:tcPr>
          <w:p w14:paraId="68A3203A">
            <w:pPr>
              <w:jc w:val="center"/>
              <w:rPr>
                <w:rFonts w:hint="eastAsia" w:ascii="宋体" w:hAnsi="宋体" w:cs="宋体"/>
                <w:sz w:val="24"/>
                <w:szCs w:val="24"/>
              </w:rPr>
            </w:pPr>
            <w:r>
              <w:rPr>
                <w:rFonts w:hint="eastAsia" w:ascii="宋体" w:hAnsi="宋体" w:cs="宋体"/>
                <w:sz w:val="24"/>
                <w:szCs w:val="24"/>
              </w:rPr>
              <w:t>兰州大学学报</w:t>
            </w:r>
          </w:p>
          <w:p w14:paraId="56C12BD9">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(医学版)</w:t>
            </w:r>
          </w:p>
        </w:tc>
        <w:tc>
          <w:tcPr>
            <w:tcW w:w="571" w:type="pct"/>
            <w:tcBorders>
              <w:top w:val="single" w:color="auto" w:sz="8" w:space="0"/>
              <w:left w:val="single" w:color="auto" w:sz="8" w:space="0"/>
              <w:bottom w:val="single" w:color="auto" w:sz="8" w:space="0"/>
              <w:right w:val="single" w:color="auto" w:sz="8" w:space="0"/>
            </w:tcBorders>
            <w:noWrap w:val="0"/>
            <w:vAlign w:val="top"/>
          </w:tcPr>
          <w:p w14:paraId="4421A1E0">
            <w:pPr>
              <w:jc w:val="left"/>
              <w:rPr>
                <w:rFonts w:ascii="宋体" w:hAnsi="宋体" w:cs="宋体"/>
                <w:sz w:val="24"/>
                <w:szCs w:val="24"/>
              </w:rPr>
            </w:pPr>
            <w:r>
              <w:rPr>
                <w:rFonts w:ascii="宋体" w:hAnsi="宋体" w:cs="宋体"/>
                <w:sz w:val="24"/>
                <w:szCs w:val="24"/>
              </w:rPr>
              <w:t>2022, 48</w:t>
            </w:r>
          </w:p>
          <w:p w14:paraId="3943DFBB">
            <w:pPr>
              <w:jc w:val="left"/>
              <w:rPr>
                <w:rFonts w:hint="eastAsia" w:ascii="宋体" w:hAnsi="宋体" w:eastAsia="宋体" w:cs="宋体"/>
                <w:kern w:val="2"/>
                <w:sz w:val="24"/>
                <w:szCs w:val="24"/>
                <w:lang w:val="en-US" w:eastAsia="zh-CN" w:bidi="ar-SA"/>
              </w:rPr>
            </w:pPr>
            <w:r>
              <w:rPr>
                <w:rFonts w:ascii="宋体" w:hAnsi="宋体" w:cs="宋体"/>
                <w:sz w:val="24"/>
                <w:szCs w:val="24"/>
              </w:rPr>
              <w:t>(01): 85-90</w:t>
            </w:r>
          </w:p>
        </w:tc>
        <w:tc>
          <w:tcPr>
            <w:tcW w:w="462" w:type="pct"/>
            <w:tcBorders>
              <w:top w:val="single" w:color="auto" w:sz="8" w:space="0"/>
              <w:left w:val="single" w:color="auto" w:sz="8" w:space="0"/>
              <w:bottom w:val="single" w:color="auto" w:sz="8" w:space="0"/>
              <w:right w:val="single" w:color="auto" w:sz="8" w:space="0"/>
            </w:tcBorders>
            <w:noWrap w:val="0"/>
            <w:vAlign w:val="top"/>
          </w:tcPr>
          <w:p w14:paraId="680D5E8D">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2022.01</w:t>
            </w:r>
          </w:p>
        </w:tc>
        <w:tc>
          <w:tcPr>
            <w:tcW w:w="430" w:type="pct"/>
            <w:tcBorders>
              <w:top w:val="single" w:color="auto" w:sz="8" w:space="0"/>
              <w:left w:val="single" w:color="auto" w:sz="8" w:space="0"/>
              <w:bottom w:val="single" w:color="auto" w:sz="8" w:space="0"/>
              <w:right w:val="single" w:color="auto" w:sz="8" w:space="0"/>
            </w:tcBorders>
            <w:noWrap w:val="0"/>
            <w:vAlign w:val="top"/>
          </w:tcPr>
          <w:p w14:paraId="662E7078">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top"/>
          </w:tcPr>
          <w:p w14:paraId="15340FEB">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聂倩文、郇 轩、尹江燕、康静、张正义</w:t>
            </w:r>
          </w:p>
        </w:tc>
        <w:tc>
          <w:tcPr>
            <w:tcW w:w="270" w:type="pct"/>
            <w:tcBorders>
              <w:top w:val="single" w:color="auto" w:sz="8" w:space="0"/>
              <w:left w:val="single" w:color="auto" w:sz="8" w:space="0"/>
              <w:bottom w:val="single" w:color="auto" w:sz="8" w:space="0"/>
              <w:right w:val="single" w:color="auto" w:sz="8" w:space="0"/>
            </w:tcBorders>
            <w:noWrap w:val="0"/>
            <w:vAlign w:val="top"/>
          </w:tcPr>
          <w:p w14:paraId="602BC3E9">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w:t>
            </w:r>
          </w:p>
        </w:tc>
      </w:tr>
      <w:tr w14:paraId="530A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6CB7A4F7">
            <w:pPr>
              <w:jc w:val="center"/>
              <w:rPr>
                <w:rFonts w:hint="eastAsia" w:ascii="宋体" w:hAnsi="宋体" w:eastAsia="宋体" w:cs="宋体"/>
                <w:sz w:val="24"/>
                <w:szCs w:val="24"/>
              </w:rPr>
            </w:pPr>
            <w:r>
              <w:rPr>
                <w:rFonts w:hint="eastAsia" w:ascii="宋体" w:hAnsi="宋体" w:eastAsia="宋体" w:cs="宋体"/>
                <w:sz w:val="24"/>
                <w:szCs w:val="24"/>
              </w:rPr>
              <w:t>7</w:t>
            </w:r>
          </w:p>
        </w:tc>
        <w:tc>
          <w:tcPr>
            <w:tcW w:w="1323" w:type="pct"/>
            <w:tcBorders>
              <w:top w:val="single" w:color="auto" w:sz="8" w:space="0"/>
              <w:left w:val="single" w:color="auto" w:sz="8" w:space="0"/>
              <w:bottom w:val="single" w:color="auto" w:sz="8" w:space="0"/>
              <w:right w:val="single" w:color="auto" w:sz="8" w:space="0"/>
            </w:tcBorders>
            <w:noWrap w:val="0"/>
            <w:vAlign w:val="center"/>
          </w:tcPr>
          <w:p w14:paraId="76A73F64">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激活κ阿片受体对大鼠急性缺血</w:t>
            </w:r>
            <w:r>
              <w:rPr>
                <w:rFonts w:hint="eastAsia" w:ascii="宋体" w:hAnsi="宋体" w:cs="宋体"/>
                <w:sz w:val="24"/>
                <w:szCs w:val="24"/>
                <w:lang w:val="en-US" w:eastAsia="zh-CN"/>
              </w:rPr>
              <w:t>/</w:t>
            </w:r>
            <w:r>
              <w:rPr>
                <w:rFonts w:hint="eastAsia" w:ascii="宋体" w:hAnsi="宋体" w:cs="宋体"/>
                <w:sz w:val="24"/>
                <w:szCs w:val="24"/>
              </w:rPr>
              <w:t>灌注心肌保护作用的实验研究</w:t>
            </w:r>
          </w:p>
        </w:tc>
        <w:tc>
          <w:tcPr>
            <w:tcW w:w="735" w:type="pct"/>
            <w:tcBorders>
              <w:top w:val="single" w:color="auto" w:sz="8" w:space="0"/>
              <w:left w:val="single" w:color="auto" w:sz="8" w:space="0"/>
              <w:bottom w:val="single" w:color="auto" w:sz="8" w:space="0"/>
              <w:right w:val="single" w:color="auto" w:sz="8" w:space="0"/>
            </w:tcBorders>
            <w:noWrap w:val="0"/>
            <w:vAlign w:val="center"/>
          </w:tcPr>
          <w:p w14:paraId="16776C0D">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中国急救医学</w:t>
            </w:r>
          </w:p>
        </w:tc>
        <w:tc>
          <w:tcPr>
            <w:tcW w:w="571" w:type="pct"/>
            <w:tcBorders>
              <w:top w:val="single" w:color="auto" w:sz="8" w:space="0"/>
              <w:left w:val="single" w:color="auto" w:sz="8" w:space="0"/>
              <w:bottom w:val="single" w:color="auto" w:sz="8" w:space="0"/>
              <w:right w:val="single" w:color="auto" w:sz="8" w:space="0"/>
            </w:tcBorders>
            <w:noWrap w:val="0"/>
            <w:vAlign w:val="center"/>
          </w:tcPr>
          <w:p w14:paraId="39863472">
            <w:pPr>
              <w:jc w:val="left"/>
              <w:rPr>
                <w:rFonts w:hint="eastAsia" w:ascii="宋体" w:hAnsi="宋体" w:eastAsia="宋体" w:cs="宋体"/>
                <w:kern w:val="2"/>
                <w:sz w:val="24"/>
                <w:szCs w:val="24"/>
                <w:lang w:val="en-US" w:eastAsia="zh-CN" w:bidi="ar-SA"/>
              </w:rPr>
            </w:pPr>
            <w:r>
              <w:rPr>
                <w:rFonts w:ascii="宋体" w:hAnsi="宋体" w:cs="宋体"/>
                <w:sz w:val="24"/>
                <w:szCs w:val="24"/>
              </w:rPr>
              <w:t>2008,(09):819-82</w:t>
            </w:r>
          </w:p>
        </w:tc>
        <w:tc>
          <w:tcPr>
            <w:tcW w:w="462" w:type="pct"/>
            <w:tcBorders>
              <w:top w:val="single" w:color="auto" w:sz="8" w:space="0"/>
              <w:left w:val="single" w:color="auto" w:sz="8" w:space="0"/>
              <w:bottom w:val="single" w:color="auto" w:sz="8" w:space="0"/>
              <w:right w:val="single" w:color="auto" w:sz="8" w:space="0"/>
            </w:tcBorders>
            <w:noWrap w:val="0"/>
            <w:vAlign w:val="center"/>
          </w:tcPr>
          <w:p w14:paraId="2089690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2008.9</w:t>
            </w:r>
          </w:p>
        </w:tc>
        <w:tc>
          <w:tcPr>
            <w:tcW w:w="430" w:type="pct"/>
            <w:tcBorders>
              <w:top w:val="single" w:color="auto" w:sz="8" w:space="0"/>
              <w:left w:val="single" w:color="auto" w:sz="8" w:space="0"/>
              <w:bottom w:val="single" w:color="auto" w:sz="8" w:space="0"/>
              <w:right w:val="single" w:color="auto" w:sz="8" w:space="0"/>
            </w:tcBorders>
            <w:noWrap w:val="0"/>
            <w:vAlign w:val="center"/>
          </w:tcPr>
          <w:p w14:paraId="040AEBE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center"/>
          </w:tcPr>
          <w:p w14:paraId="5DEBA6B5">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张正义、李培杰、昝香怡、赵</w:t>
            </w:r>
            <w:r>
              <w:rPr>
                <w:rFonts w:hint="eastAsia" w:ascii="宋体" w:hAnsi="宋体" w:cs="宋体"/>
                <w:sz w:val="24"/>
                <w:szCs w:val="24"/>
                <w:lang w:val="en-US" w:eastAsia="zh-CN"/>
              </w:rPr>
              <w:t>建</w:t>
            </w:r>
            <w:r>
              <w:rPr>
                <w:rFonts w:hint="eastAsia" w:ascii="宋体" w:hAnsi="宋体" w:cs="宋体"/>
                <w:sz w:val="24"/>
                <w:szCs w:val="24"/>
              </w:rPr>
              <w:t>洪、汤晓琴</w:t>
            </w:r>
          </w:p>
        </w:tc>
        <w:tc>
          <w:tcPr>
            <w:tcW w:w="270" w:type="pct"/>
            <w:tcBorders>
              <w:top w:val="single" w:color="auto" w:sz="8" w:space="0"/>
              <w:left w:val="single" w:color="auto" w:sz="8" w:space="0"/>
              <w:bottom w:val="single" w:color="auto" w:sz="8" w:space="0"/>
              <w:right w:val="single" w:color="auto" w:sz="8" w:space="0"/>
            </w:tcBorders>
            <w:noWrap w:val="0"/>
            <w:vAlign w:val="center"/>
          </w:tcPr>
          <w:p w14:paraId="5489CA48">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6</w:t>
            </w:r>
          </w:p>
        </w:tc>
      </w:tr>
      <w:tr w14:paraId="50BC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504CDB43">
            <w:pPr>
              <w:jc w:val="center"/>
              <w:rPr>
                <w:rFonts w:hint="eastAsia" w:ascii="宋体" w:hAnsi="宋体" w:eastAsia="宋体" w:cs="宋体"/>
                <w:sz w:val="24"/>
                <w:szCs w:val="24"/>
              </w:rPr>
            </w:pPr>
            <w:r>
              <w:rPr>
                <w:rFonts w:hint="eastAsia" w:ascii="宋体" w:hAnsi="宋体" w:eastAsia="宋体" w:cs="宋体"/>
                <w:sz w:val="24"/>
                <w:szCs w:val="24"/>
              </w:rPr>
              <w:t>8</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707975F9">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早期超滤联合指南指导的药物治疗射血分数降低的心力衰竭患者一例</w:t>
            </w:r>
          </w:p>
        </w:tc>
        <w:tc>
          <w:tcPr>
            <w:tcW w:w="735" w:type="pct"/>
            <w:tcBorders>
              <w:top w:val="single" w:color="auto" w:sz="8" w:space="0"/>
              <w:left w:val="single" w:color="auto" w:sz="8" w:space="0"/>
              <w:bottom w:val="single" w:color="auto" w:sz="8" w:space="0"/>
              <w:right w:val="single" w:color="auto" w:sz="8" w:space="0"/>
            </w:tcBorders>
            <w:noWrap w:val="0"/>
            <w:vAlign w:val="top"/>
          </w:tcPr>
          <w:p w14:paraId="64A30AC1">
            <w:pPr>
              <w:jc w:val="center"/>
              <w:rPr>
                <w:rFonts w:hint="eastAsia" w:ascii="宋体" w:hAnsi="宋体" w:cs="宋体"/>
                <w:sz w:val="24"/>
                <w:szCs w:val="24"/>
              </w:rPr>
            </w:pPr>
            <w:r>
              <w:rPr>
                <w:rFonts w:hint="eastAsia" w:ascii="宋体" w:hAnsi="宋体" w:cs="宋体"/>
                <w:sz w:val="24"/>
                <w:szCs w:val="24"/>
              </w:rPr>
              <w:t>中华心力衰竭</w:t>
            </w:r>
          </w:p>
          <w:p w14:paraId="341CEFFA">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和心肌病杂志</w:t>
            </w:r>
          </w:p>
        </w:tc>
        <w:tc>
          <w:tcPr>
            <w:tcW w:w="571" w:type="pct"/>
            <w:tcBorders>
              <w:top w:val="single" w:color="auto" w:sz="8" w:space="0"/>
              <w:left w:val="single" w:color="auto" w:sz="8" w:space="0"/>
              <w:bottom w:val="single" w:color="auto" w:sz="8" w:space="0"/>
              <w:right w:val="single" w:color="auto" w:sz="8" w:space="0"/>
            </w:tcBorders>
            <w:noWrap w:val="0"/>
            <w:vAlign w:val="top"/>
          </w:tcPr>
          <w:p w14:paraId="52219BFF">
            <w:pPr>
              <w:jc w:val="left"/>
              <w:rPr>
                <w:rFonts w:hint="eastAsia" w:ascii="宋体" w:hAnsi="宋体" w:eastAsia="宋体" w:cs="宋体"/>
                <w:kern w:val="2"/>
                <w:sz w:val="24"/>
                <w:szCs w:val="24"/>
                <w:lang w:val="en-US" w:eastAsia="zh-CN" w:bidi="ar-SA"/>
              </w:rPr>
            </w:pPr>
            <w:r>
              <w:rPr>
                <w:rFonts w:ascii="宋体" w:hAnsi="宋体" w:cs="宋体"/>
                <w:sz w:val="24"/>
                <w:szCs w:val="24"/>
              </w:rPr>
              <w:t>2021,05(04):253-255</w:t>
            </w:r>
          </w:p>
        </w:tc>
        <w:tc>
          <w:tcPr>
            <w:tcW w:w="462" w:type="pct"/>
            <w:tcBorders>
              <w:top w:val="single" w:color="auto" w:sz="8" w:space="0"/>
              <w:left w:val="single" w:color="auto" w:sz="8" w:space="0"/>
              <w:bottom w:val="single" w:color="auto" w:sz="8" w:space="0"/>
              <w:right w:val="single" w:color="auto" w:sz="8" w:space="0"/>
            </w:tcBorders>
            <w:noWrap w:val="0"/>
            <w:vAlign w:val="top"/>
          </w:tcPr>
          <w:p w14:paraId="6E705140">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2021.12</w:t>
            </w:r>
          </w:p>
        </w:tc>
        <w:tc>
          <w:tcPr>
            <w:tcW w:w="430" w:type="pct"/>
            <w:tcBorders>
              <w:top w:val="single" w:color="auto" w:sz="8" w:space="0"/>
              <w:left w:val="single" w:color="auto" w:sz="8" w:space="0"/>
              <w:bottom w:val="single" w:color="auto" w:sz="8" w:space="0"/>
              <w:right w:val="single" w:color="auto" w:sz="8" w:space="0"/>
            </w:tcBorders>
            <w:noWrap w:val="0"/>
            <w:vAlign w:val="top"/>
          </w:tcPr>
          <w:p w14:paraId="00F3E5AA">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top"/>
          </w:tcPr>
          <w:p w14:paraId="4B8A12E5">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聂倩文、赵嫄、张正义</w:t>
            </w:r>
          </w:p>
        </w:tc>
        <w:tc>
          <w:tcPr>
            <w:tcW w:w="270" w:type="pct"/>
            <w:tcBorders>
              <w:top w:val="single" w:color="auto" w:sz="8" w:space="0"/>
              <w:left w:val="single" w:color="auto" w:sz="8" w:space="0"/>
              <w:bottom w:val="single" w:color="auto" w:sz="8" w:space="0"/>
              <w:right w:val="single" w:color="auto" w:sz="8" w:space="0"/>
            </w:tcBorders>
            <w:noWrap w:val="0"/>
            <w:vAlign w:val="top"/>
          </w:tcPr>
          <w:p w14:paraId="522BA897">
            <w:pPr>
              <w:jc w:val="center"/>
              <w:rPr>
                <w:rFonts w:hint="eastAsia" w:ascii="宋体" w:hAnsi="宋体" w:eastAsia="宋体" w:cs="宋体"/>
                <w:sz w:val="24"/>
                <w:szCs w:val="24"/>
              </w:rPr>
            </w:pPr>
          </w:p>
        </w:tc>
      </w:tr>
      <w:tr w14:paraId="4635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8"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04109DA9">
            <w:pPr>
              <w:jc w:val="center"/>
              <w:rPr>
                <w:rFonts w:hint="eastAsia" w:ascii="宋体" w:hAnsi="宋体" w:eastAsia="宋体" w:cs="宋体"/>
                <w:sz w:val="24"/>
                <w:szCs w:val="24"/>
              </w:rPr>
            </w:pPr>
            <w:r>
              <w:rPr>
                <w:rFonts w:hint="eastAsia" w:ascii="宋体" w:hAnsi="宋体" w:eastAsia="宋体" w:cs="宋体"/>
                <w:sz w:val="24"/>
                <w:szCs w:val="24"/>
              </w:rPr>
              <w:t>9</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2B7C693B">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三酰甘油葡萄糖指数与冠状动脉及颈动脉粥样硬化的相关性研究</w:t>
            </w:r>
          </w:p>
        </w:tc>
        <w:tc>
          <w:tcPr>
            <w:tcW w:w="735" w:type="pct"/>
            <w:tcBorders>
              <w:top w:val="single" w:color="auto" w:sz="8" w:space="0"/>
              <w:left w:val="single" w:color="auto" w:sz="8" w:space="0"/>
              <w:bottom w:val="single" w:color="auto" w:sz="8" w:space="0"/>
              <w:right w:val="single" w:color="auto" w:sz="8" w:space="0"/>
            </w:tcBorders>
            <w:noWrap w:val="0"/>
            <w:vAlign w:val="top"/>
          </w:tcPr>
          <w:p w14:paraId="33339749">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中国全科医学</w:t>
            </w:r>
          </w:p>
        </w:tc>
        <w:tc>
          <w:tcPr>
            <w:tcW w:w="571" w:type="pct"/>
            <w:tcBorders>
              <w:top w:val="single" w:color="auto" w:sz="8" w:space="0"/>
              <w:left w:val="single" w:color="auto" w:sz="8" w:space="0"/>
              <w:bottom w:val="single" w:color="auto" w:sz="8" w:space="0"/>
              <w:right w:val="single" w:color="auto" w:sz="8" w:space="0"/>
            </w:tcBorders>
            <w:noWrap w:val="0"/>
            <w:vAlign w:val="top"/>
          </w:tcPr>
          <w:p w14:paraId="5B55FFC5">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2022，25（15）：1845-1849</w:t>
            </w:r>
          </w:p>
        </w:tc>
        <w:tc>
          <w:tcPr>
            <w:tcW w:w="462" w:type="pct"/>
            <w:tcBorders>
              <w:top w:val="single" w:color="auto" w:sz="8" w:space="0"/>
              <w:left w:val="single" w:color="auto" w:sz="8" w:space="0"/>
              <w:bottom w:val="single" w:color="auto" w:sz="8" w:space="0"/>
              <w:right w:val="single" w:color="auto" w:sz="8" w:space="0"/>
            </w:tcBorders>
            <w:noWrap w:val="0"/>
            <w:vAlign w:val="top"/>
          </w:tcPr>
          <w:p w14:paraId="6BD02DB0">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2022.03</w:t>
            </w:r>
          </w:p>
        </w:tc>
        <w:tc>
          <w:tcPr>
            <w:tcW w:w="430" w:type="pct"/>
            <w:tcBorders>
              <w:top w:val="single" w:color="auto" w:sz="8" w:space="0"/>
              <w:left w:val="single" w:color="auto" w:sz="8" w:space="0"/>
              <w:bottom w:val="single" w:color="auto" w:sz="8" w:space="0"/>
              <w:right w:val="single" w:color="auto" w:sz="8" w:space="0"/>
            </w:tcBorders>
            <w:noWrap w:val="0"/>
            <w:vAlign w:val="top"/>
          </w:tcPr>
          <w:p w14:paraId="08304D4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张正义</w:t>
            </w:r>
          </w:p>
        </w:tc>
        <w:tc>
          <w:tcPr>
            <w:tcW w:w="997" w:type="pct"/>
            <w:tcBorders>
              <w:top w:val="single" w:color="auto" w:sz="8" w:space="0"/>
              <w:left w:val="single" w:color="auto" w:sz="8" w:space="0"/>
              <w:bottom w:val="single" w:color="auto" w:sz="8" w:space="0"/>
              <w:right w:val="single" w:color="auto" w:sz="8" w:space="0"/>
            </w:tcBorders>
            <w:noWrap w:val="0"/>
            <w:vAlign w:val="top"/>
          </w:tcPr>
          <w:p w14:paraId="72CA442C">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包鑫、卢昌宏、赵嫄、关晓丽、聂倩文、梁文霞、张晶</w:t>
            </w:r>
          </w:p>
        </w:tc>
        <w:tc>
          <w:tcPr>
            <w:tcW w:w="270" w:type="pct"/>
            <w:tcBorders>
              <w:top w:val="single" w:color="auto" w:sz="8" w:space="0"/>
              <w:left w:val="single" w:color="auto" w:sz="8" w:space="0"/>
              <w:bottom w:val="single" w:color="auto" w:sz="8" w:space="0"/>
              <w:right w:val="single" w:color="auto" w:sz="8" w:space="0"/>
            </w:tcBorders>
            <w:noWrap w:val="0"/>
            <w:vAlign w:val="top"/>
          </w:tcPr>
          <w:p w14:paraId="408DF822">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12</w:t>
            </w:r>
          </w:p>
        </w:tc>
      </w:tr>
      <w:tr w14:paraId="2035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32249338">
            <w:pPr>
              <w:jc w:val="center"/>
              <w:rPr>
                <w:rFonts w:hint="eastAsia" w:ascii="宋体" w:hAnsi="宋体" w:eastAsia="宋体" w:cs="宋体"/>
                <w:sz w:val="24"/>
                <w:szCs w:val="24"/>
              </w:rPr>
            </w:pPr>
            <w:r>
              <w:rPr>
                <w:rFonts w:hint="eastAsia" w:ascii="宋体" w:hAnsi="宋体" w:eastAsia="宋体" w:cs="宋体"/>
                <w:sz w:val="24"/>
                <w:szCs w:val="24"/>
              </w:rPr>
              <w:t>10</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12C5B43A">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X 线放射诱导大鼠心肌细胞系H9c2损伤中组蛋白乙酰化水平降低</w:t>
            </w:r>
          </w:p>
        </w:tc>
        <w:tc>
          <w:tcPr>
            <w:tcW w:w="735" w:type="pct"/>
            <w:tcBorders>
              <w:top w:val="single" w:color="auto" w:sz="8" w:space="0"/>
              <w:left w:val="single" w:color="auto" w:sz="8" w:space="0"/>
              <w:bottom w:val="single" w:color="auto" w:sz="8" w:space="0"/>
              <w:right w:val="single" w:color="auto" w:sz="8" w:space="0"/>
            </w:tcBorders>
            <w:noWrap w:val="0"/>
            <w:vAlign w:val="top"/>
          </w:tcPr>
          <w:p w14:paraId="248C2C36">
            <w:pPr>
              <w:jc w:val="center"/>
              <w:rPr>
                <w:rFonts w:hint="eastAsia" w:ascii="宋体" w:hAnsi="宋体" w:cs="宋体"/>
                <w:sz w:val="24"/>
                <w:szCs w:val="24"/>
              </w:rPr>
            </w:pPr>
            <w:r>
              <w:rPr>
                <w:rFonts w:hint="eastAsia" w:ascii="宋体" w:hAnsi="宋体" w:cs="宋体"/>
                <w:sz w:val="24"/>
                <w:szCs w:val="24"/>
              </w:rPr>
              <w:t>基础医学与临</w:t>
            </w:r>
          </w:p>
          <w:p w14:paraId="5AA76CFD">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床</w:t>
            </w:r>
          </w:p>
        </w:tc>
        <w:tc>
          <w:tcPr>
            <w:tcW w:w="571" w:type="pct"/>
            <w:tcBorders>
              <w:top w:val="single" w:color="auto" w:sz="8" w:space="0"/>
              <w:left w:val="single" w:color="auto" w:sz="8" w:space="0"/>
              <w:bottom w:val="single" w:color="auto" w:sz="8" w:space="0"/>
              <w:right w:val="single" w:color="auto" w:sz="8" w:space="0"/>
            </w:tcBorders>
            <w:noWrap w:val="0"/>
            <w:vAlign w:val="top"/>
          </w:tcPr>
          <w:p w14:paraId="32967823">
            <w:pPr>
              <w:jc w:val="left"/>
              <w:rPr>
                <w:rFonts w:ascii="宋体" w:hAnsi="宋体" w:cs="宋体"/>
                <w:sz w:val="24"/>
                <w:szCs w:val="24"/>
              </w:rPr>
            </w:pPr>
            <w:r>
              <w:rPr>
                <w:rFonts w:ascii="宋体" w:hAnsi="宋体" w:cs="宋体"/>
                <w:sz w:val="24"/>
                <w:szCs w:val="24"/>
              </w:rPr>
              <w:t>2022, 48</w:t>
            </w:r>
          </w:p>
          <w:p w14:paraId="2A05F965">
            <w:pPr>
              <w:jc w:val="left"/>
              <w:rPr>
                <w:rFonts w:hint="eastAsia" w:ascii="宋体" w:hAnsi="宋体" w:eastAsia="宋体" w:cs="宋体"/>
                <w:kern w:val="2"/>
                <w:sz w:val="24"/>
                <w:szCs w:val="24"/>
                <w:lang w:val="en-US" w:eastAsia="zh-CN" w:bidi="ar-SA"/>
              </w:rPr>
            </w:pPr>
            <w:r>
              <w:rPr>
                <w:rFonts w:ascii="宋体" w:hAnsi="宋体" w:cs="宋体"/>
                <w:sz w:val="24"/>
                <w:szCs w:val="24"/>
              </w:rPr>
              <w:t>(01): 85-90</w:t>
            </w:r>
          </w:p>
        </w:tc>
        <w:tc>
          <w:tcPr>
            <w:tcW w:w="462" w:type="pct"/>
            <w:tcBorders>
              <w:top w:val="single" w:color="auto" w:sz="8" w:space="0"/>
              <w:left w:val="single" w:color="auto" w:sz="8" w:space="0"/>
              <w:bottom w:val="single" w:color="auto" w:sz="8" w:space="0"/>
              <w:right w:val="single" w:color="auto" w:sz="8" w:space="0"/>
            </w:tcBorders>
            <w:noWrap w:val="0"/>
            <w:vAlign w:val="top"/>
          </w:tcPr>
          <w:p w14:paraId="1222A960">
            <w:pPr>
              <w:jc w:val="center"/>
              <w:rPr>
                <w:rFonts w:hint="eastAsia" w:ascii="宋体" w:hAnsi="宋体" w:eastAsia="宋体" w:cs="宋体"/>
                <w:kern w:val="2"/>
                <w:sz w:val="24"/>
                <w:szCs w:val="24"/>
                <w:lang w:val="en-US" w:eastAsia="zh-CN" w:bidi="ar-SA"/>
              </w:rPr>
            </w:pPr>
            <w:r>
              <w:rPr>
                <w:rFonts w:hint="eastAsia" w:ascii="宋体" w:hAnsi="宋体" w:cs="宋体"/>
                <w:szCs w:val="21"/>
              </w:rPr>
              <w:t>2021.08</w:t>
            </w:r>
          </w:p>
        </w:tc>
        <w:tc>
          <w:tcPr>
            <w:tcW w:w="430" w:type="pct"/>
            <w:tcBorders>
              <w:top w:val="single" w:color="auto" w:sz="8" w:space="0"/>
              <w:left w:val="single" w:color="auto" w:sz="8" w:space="0"/>
              <w:bottom w:val="single" w:color="auto" w:sz="8" w:space="0"/>
              <w:right w:val="single" w:color="auto" w:sz="8" w:space="0"/>
            </w:tcBorders>
            <w:noWrap w:val="0"/>
            <w:vAlign w:val="top"/>
          </w:tcPr>
          <w:p w14:paraId="271E3326">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张德奎</w:t>
            </w:r>
          </w:p>
        </w:tc>
        <w:tc>
          <w:tcPr>
            <w:tcW w:w="997" w:type="pct"/>
            <w:tcBorders>
              <w:top w:val="single" w:color="auto" w:sz="8" w:space="0"/>
              <w:left w:val="single" w:color="auto" w:sz="8" w:space="0"/>
              <w:bottom w:val="single" w:color="auto" w:sz="8" w:space="0"/>
              <w:right w:val="single" w:color="auto" w:sz="8" w:space="0"/>
            </w:tcBorders>
            <w:noWrap w:val="0"/>
            <w:vAlign w:val="top"/>
          </w:tcPr>
          <w:p w14:paraId="4BCB2482">
            <w:pPr>
              <w:jc w:val="center"/>
              <w:rPr>
                <w:rFonts w:hint="eastAsia" w:ascii="宋体" w:hAnsi="宋体" w:cs="宋体"/>
                <w:sz w:val="24"/>
                <w:szCs w:val="24"/>
              </w:rPr>
            </w:pPr>
            <w:r>
              <w:rPr>
                <w:rFonts w:hint="eastAsia" w:ascii="宋体" w:hAnsi="宋体" w:cs="宋体"/>
                <w:sz w:val="24"/>
                <w:szCs w:val="24"/>
              </w:rPr>
              <w:t>蒙颖、张正义、赵嫄、卢昌宏、商波、孙鹏飞、张</w:t>
            </w:r>
          </w:p>
          <w:p w14:paraId="1369BAE5">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德奎</w:t>
            </w:r>
          </w:p>
        </w:tc>
        <w:tc>
          <w:tcPr>
            <w:tcW w:w="270" w:type="pct"/>
            <w:tcBorders>
              <w:top w:val="single" w:color="auto" w:sz="8" w:space="0"/>
              <w:left w:val="single" w:color="auto" w:sz="8" w:space="0"/>
              <w:bottom w:val="single" w:color="auto" w:sz="8" w:space="0"/>
              <w:right w:val="single" w:color="auto" w:sz="8" w:space="0"/>
            </w:tcBorders>
            <w:noWrap w:val="0"/>
            <w:vAlign w:val="top"/>
          </w:tcPr>
          <w:p w14:paraId="38A51498">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1</w:t>
            </w:r>
          </w:p>
        </w:tc>
      </w:tr>
      <w:tr w14:paraId="2B20A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1474D5B3">
            <w:pPr>
              <w:jc w:val="center"/>
              <w:rPr>
                <w:rFonts w:hint="eastAsia" w:ascii="宋体" w:hAnsi="宋体" w:eastAsia="宋体" w:cs="宋体"/>
                <w:sz w:val="24"/>
                <w:szCs w:val="24"/>
              </w:rPr>
            </w:pPr>
            <w:r>
              <w:rPr>
                <w:rFonts w:hint="eastAsia" w:ascii="宋体" w:hAnsi="宋体" w:eastAsia="宋体" w:cs="宋体"/>
                <w:sz w:val="24"/>
                <w:szCs w:val="24"/>
              </w:rPr>
              <w:t>11</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5DAB78BF">
            <w:pPr>
              <w:jc w:val="left"/>
              <w:rPr>
                <w:rFonts w:ascii="宋体" w:hAnsi="宋体" w:cs="宋体"/>
                <w:sz w:val="24"/>
                <w:szCs w:val="24"/>
              </w:rPr>
            </w:pPr>
            <w:r>
              <w:rPr>
                <w:rFonts w:ascii="宋体" w:hAnsi="宋体" w:cs="宋体"/>
                <w:sz w:val="24"/>
                <w:szCs w:val="24"/>
              </w:rPr>
              <w:t>Association between sub-clinical hypothyroidism and heart failure</w:t>
            </w:r>
          </w:p>
          <w:p w14:paraId="576E1A21">
            <w:pPr>
              <w:jc w:val="left"/>
              <w:rPr>
                <w:rFonts w:hint="eastAsia" w:ascii="宋体" w:hAnsi="宋体" w:eastAsia="宋体" w:cs="宋体"/>
                <w:kern w:val="2"/>
                <w:sz w:val="24"/>
                <w:szCs w:val="24"/>
                <w:lang w:val="en-US" w:eastAsia="zh-CN" w:bidi="ar-SA"/>
              </w:rPr>
            </w:pPr>
            <w:r>
              <w:rPr>
                <w:rFonts w:ascii="宋体" w:hAnsi="宋体" w:cs="宋体"/>
                <w:sz w:val="24"/>
                <w:szCs w:val="24"/>
              </w:rPr>
              <w:t>with preserved ejection fraction</w:t>
            </w:r>
          </w:p>
        </w:tc>
        <w:tc>
          <w:tcPr>
            <w:tcW w:w="735" w:type="pct"/>
            <w:tcBorders>
              <w:top w:val="single" w:color="auto" w:sz="8" w:space="0"/>
              <w:left w:val="single" w:color="auto" w:sz="8" w:space="0"/>
              <w:bottom w:val="single" w:color="auto" w:sz="8" w:space="0"/>
              <w:right w:val="single" w:color="auto" w:sz="8" w:space="0"/>
            </w:tcBorders>
            <w:noWrap w:val="0"/>
            <w:vAlign w:val="top"/>
          </w:tcPr>
          <w:p w14:paraId="780D1F18">
            <w:pPr>
              <w:jc w:val="center"/>
              <w:rPr>
                <w:rFonts w:ascii="宋体" w:hAnsi="宋体" w:cs="宋体"/>
                <w:sz w:val="24"/>
                <w:szCs w:val="24"/>
              </w:rPr>
            </w:pPr>
            <w:r>
              <w:rPr>
                <w:rFonts w:ascii="宋体" w:hAnsi="宋体" w:cs="宋体"/>
                <w:sz w:val="24"/>
                <w:szCs w:val="24"/>
              </w:rPr>
              <w:t>Chinese</w:t>
            </w:r>
          </w:p>
          <w:p w14:paraId="3E851D6E">
            <w:pPr>
              <w:jc w:val="center"/>
              <w:rPr>
                <w:rFonts w:ascii="宋体" w:hAnsi="宋体" w:cs="宋体"/>
                <w:sz w:val="24"/>
                <w:szCs w:val="24"/>
              </w:rPr>
            </w:pPr>
            <w:r>
              <w:rPr>
                <w:rFonts w:ascii="宋体" w:hAnsi="宋体" w:cs="宋体"/>
                <w:sz w:val="24"/>
                <w:szCs w:val="24"/>
              </w:rPr>
              <w:t>Medical</w:t>
            </w:r>
          </w:p>
          <w:p w14:paraId="3DD789A3">
            <w:pPr>
              <w:jc w:val="center"/>
              <w:rPr>
                <w:rFonts w:hint="eastAsia" w:ascii="宋体" w:hAnsi="宋体" w:eastAsia="宋体" w:cs="宋体"/>
                <w:kern w:val="2"/>
                <w:sz w:val="24"/>
                <w:szCs w:val="24"/>
                <w:lang w:val="en-US" w:eastAsia="zh-CN" w:bidi="ar-SA"/>
              </w:rPr>
            </w:pPr>
            <w:r>
              <w:rPr>
                <w:rFonts w:ascii="宋体" w:hAnsi="宋体" w:cs="宋体"/>
                <w:sz w:val="24"/>
                <w:szCs w:val="24"/>
              </w:rPr>
              <w:t>Journal</w:t>
            </w:r>
          </w:p>
        </w:tc>
        <w:tc>
          <w:tcPr>
            <w:tcW w:w="571" w:type="pct"/>
            <w:tcBorders>
              <w:top w:val="single" w:color="auto" w:sz="8" w:space="0"/>
              <w:left w:val="single" w:color="auto" w:sz="8" w:space="0"/>
              <w:bottom w:val="single" w:color="auto" w:sz="8" w:space="0"/>
              <w:right w:val="single" w:color="auto" w:sz="8" w:space="0"/>
            </w:tcBorders>
            <w:noWrap w:val="0"/>
            <w:vAlign w:val="top"/>
          </w:tcPr>
          <w:p w14:paraId="7B1F1C32">
            <w:pPr>
              <w:jc w:val="left"/>
              <w:rPr>
                <w:rFonts w:hint="eastAsia" w:ascii="宋体" w:hAnsi="宋体" w:eastAsia="宋体" w:cs="宋体"/>
                <w:kern w:val="2"/>
                <w:sz w:val="24"/>
                <w:szCs w:val="24"/>
                <w:lang w:val="en-US" w:eastAsia="zh-CN" w:bidi="ar-SA"/>
              </w:rPr>
            </w:pPr>
            <w:r>
              <w:rPr>
                <w:rFonts w:ascii="宋体" w:hAnsi="宋体" w:cs="宋体"/>
                <w:sz w:val="24"/>
                <w:szCs w:val="24"/>
              </w:rPr>
              <w:t>2020;133(3):364-366</w:t>
            </w:r>
          </w:p>
        </w:tc>
        <w:tc>
          <w:tcPr>
            <w:tcW w:w="462" w:type="pct"/>
            <w:tcBorders>
              <w:top w:val="single" w:color="auto" w:sz="8" w:space="0"/>
              <w:left w:val="single" w:color="auto" w:sz="8" w:space="0"/>
              <w:bottom w:val="single" w:color="auto" w:sz="8" w:space="0"/>
              <w:right w:val="single" w:color="auto" w:sz="8" w:space="0"/>
            </w:tcBorders>
            <w:noWrap w:val="0"/>
            <w:vAlign w:val="top"/>
          </w:tcPr>
          <w:p w14:paraId="5ED993FC">
            <w:pPr>
              <w:jc w:val="center"/>
              <w:rPr>
                <w:rFonts w:hint="eastAsia" w:ascii="宋体" w:hAnsi="宋体" w:eastAsia="宋体" w:cs="宋体"/>
                <w:kern w:val="2"/>
                <w:sz w:val="24"/>
                <w:szCs w:val="24"/>
                <w:lang w:val="en-US" w:eastAsia="zh-CN" w:bidi="ar-SA"/>
              </w:rPr>
            </w:pPr>
            <w:r>
              <w:rPr>
                <w:rFonts w:hint="eastAsia" w:ascii="宋体" w:hAnsi="宋体" w:cs="宋体"/>
                <w:szCs w:val="21"/>
              </w:rPr>
              <w:t>2020.02</w:t>
            </w:r>
          </w:p>
        </w:tc>
        <w:tc>
          <w:tcPr>
            <w:tcW w:w="430" w:type="pct"/>
            <w:tcBorders>
              <w:top w:val="single" w:color="auto" w:sz="8" w:space="0"/>
              <w:left w:val="single" w:color="auto" w:sz="8" w:space="0"/>
              <w:bottom w:val="single" w:color="auto" w:sz="8" w:space="0"/>
              <w:right w:val="single" w:color="auto" w:sz="8" w:space="0"/>
            </w:tcBorders>
            <w:noWrap w:val="0"/>
            <w:vAlign w:val="top"/>
          </w:tcPr>
          <w:p w14:paraId="3B118FE1">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张德奎</w:t>
            </w:r>
          </w:p>
        </w:tc>
        <w:tc>
          <w:tcPr>
            <w:tcW w:w="997" w:type="pct"/>
            <w:tcBorders>
              <w:top w:val="single" w:color="auto" w:sz="8" w:space="0"/>
              <w:left w:val="single" w:color="auto" w:sz="8" w:space="0"/>
              <w:bottom w:val="single" w:color="auto" w:sz="8" w:space="0"/>
              <w:right w:val="single" w:color="auto" w:sz="8" w:space="0"/>
            </w:tcBorders>
            <w:noWrap w:val="0"/>
            <w:vAlign w:val="top"/>
          </w:tcPr>
          <w:p w14:paraId="3446D627">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蒙颖、赵桐、张正义、张德奎</w:t>
            </w:r>
          </w:p>
        </w:tc>
        <w:tc>
          <w:tcPr>
            <w:tcW w:w="270" w:type="pct"/>
            <w:tcBorders>
              <w:top w:val="single" w:color="auto" w:sz="8" w:space="0"/>
              <w:left w:val="single" w:color="auto" w:sz="8" w:space="0"/>
              <w:bottom w:val="single" w:color="auto" w:sz="8" w:space="0"/>
              <w:right w:val="single" w:color="auto" w:sz="8" w:space="0"/>
            </w:tcBorders>
            <w:noWrap w:val="0"/>
            <w:vAlign w:val="top"/>
          </w:tcPr>
          <w:p w14:paraId="01A9345D">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5</w:t>
            </w:r>
          </w:p>
        </w:tc>
      </w:tr>
      <w:tr w14:paraId="0EDE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2905B838">
            <w:pPr>
              <w:jc w:val="center"/>
              <w:rPr>
                <w:rFonts w:hint="eastAsia" w:ascii="宋体" w:hAnsi="宋体" w:eastAsia="宋体" w:cs="宋体"/>
                <w:sz w:val="24"/>
                <w:szCs w:val="24"/>
                <w:lang w:eastAsia="zh-CN"/>
              </w:rPr>
            </w:pPr>
            <w:r>
              <w:rPr>
                <w:rFonts w:hint="eastAsia" w:ascii="宋体" w:hAnsi="宋体" w:eastAsia="宋体" w:cs="宋体"/>
                <w:sz w:val="24"/>
                <w:szCs w:val="24"/>
              </w:rPr>
              <w:t>1</w:t>
            </w:r>
            <w:r>
              <w:rPr>
                <w:rFonts w:hint="eastAsia" w:ascii="宋体" w:hAnsi="宋体" w:cs="宋体"/>
                <w:sz w:val="24"/>
                <w:szCs w:val="24"/>
                <w:lang w:val="en-US" w:eastAsia="zh-CN"/>
              </w:rPr>
              <w:t>2</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46BFE6D1">
            <w:pPr>
              <w:jc w:val="left"/>
              <w:rPr>
                <w:rFonts w:ascii="宋体" w:hAnsi="宋体" w:cs="宋体"/>
                <w:sz w:val="24"/>
                <w:szCs w:val="24"/>
              </w:rPr>
            </w:pPr>
            <w:r>
              <w:rPr>
                <w:rFonts w:ascii="宋体" w:hAnsi="宋体" w:cs="宋体"/>
                <w:sz w:val="24"/>
                <w:szCs w:val="24"/>
              </w:rPr>
              <w:t>Visible-light-mediated catalyst-free synthesis of</w:t>
            </w:r>
          </w:p>
          <w:p w14:paraId="30DA5210">
            <w:pPr>
              <w:jc w:val="left"/>
              <w:rPr>
                <w:rFonts w:hint="eastAsia" w:ascii="宋体" w:hAnsi="宋体" w:eastAsia="宋体" w:cs="宋体"/>
                <w:kern w:val="2"/>
                <w:sz w:val="24"/>
                <w:szCs w:val="24"/>
                <w:lang w:val="en-US" w:eastAsia="zh-CN" w:bidi="ar-SA"/>
              </w:rPr>
            </w:pPr>
            <w:r>
              <w:rPr>
                <w:rFonts w:ascii="宋体" w:hAnsi="宋体" w:cs="宋体"/>
                <w:sz w:val="24"/>
                <w:szCs w:val="24"/>
              </w:rPr>
              <w:t xml:space="preserve"> unnatural α-amino acids and peptide macrocycles</w:t>
            </w:r>
          </w:p>
        </w:tc>
        <w:tc>
          <w:tcPr>
            <w:tcW w:w="735" w:type="pct"/>
            <w:tcBorders>
              <w:top w:val="single" w:color="auto" w:sz="8" w:space="0"/>
              <w:left w:val="single" w:color="auto" w:sz="8" w:space="0"/>
              <w:bottom w:val="single" w:color="auto" w:sz="8" w:space="0"/>
              <w:right w:val="single" w:color="auto" w:sz="8" w:space="0"/>
            </w:tcBorders>
            <w:noWrap w:val="0"/>
            <w:vAlign w:val="top"/>
          </w:tcPr>
          <w:p w14:paraId="20208656">
            <w:pPr>
              <w:jc w:val="center"/>
              <w:rPr>
                <w:rFonts w:hint="eastAsia" w:ascii="宋体" w:hAnsi="宋体" w:eastAsia="宋体" w:cs="宋体"/>
                <w:kern w:val="2"/>
                <w:sz w:val="24"/>
                <w:szCs w:val="24"/>
                <w:lang w:val="en-US" w:eastAsia="zh-CN" w:bidi="ar-SA"/>
              </w:rPr>
            </w:pPr>
            <w:r>
              <w:rPr>
                <w:rFonts w:ascii="宋体" w:hAnsi="宋体" w:cs="宋体"/>
                <w:sz w:val="24"/>
                <w:szCs w:val="24"/>
              </w:rPr>
              <w:t>Nature Communications</w:t>
            </w:r>
          </w:p>
        </w:tc>
        <w:tc>
          <w:tcPr>
            <w:tcW w:w="571" w:type="pct"/>
            <w:tcBorders>
              <w:top w:val="single" w:color="auto" w:sz="8" w:space="0"/>
              <w:left w:val="single" w:color="auto" w:sz="8" w:space="0"/>
              <w:bottom w:val="single" w:color="auto" w:sz="8" w:space="0"/>
              <w:right w:val="single" w:color="auto" w:sz="8" w:space="0"/>
            </w:tcBorders>
            <w:noWrap w:val="0"/>
            <w:vAlign w:val="top"/>
          </w:tcPr>
          <w:p w14:paraId="3B21B156">
            <w:pPr>
              <w:jc w:val="left"/>
              <w:rPr>
                <w:rFonts w:hint="eastAsia" w:ascii="宋体" w:hAnsi="宋体" w:eastAsia="宋体" w:cs="宋体"/>
                <w:kern w:val="2"/>
                <w:sz w:val="24"/>
                <w:szCs w:val="24"/>
                <w:lang w:val="en-US" w:eastAsia="zh-CN" w:bidi="ar-SA"/>
              </w:rPr>
            </w:pPr>
            <w:r>
              <w:rPr>
                <w:rFonts w:ascii="宋体" w:hAnsi="宋体" w:cs="宋体"/>
                <w:sz w:val="24"/>
                <w:szCs w:val="24"/>
              </w:rPr>
              <w:t>2021;12(1):6873</w:t>
            </w:r>
          </w:p>
        </w:tc>
        <w:tc>
          <w:tcPr>
            <w:tcW w:w="462" w:type="pct"/>
            <w:tcBorders>
              <w:top w:val="single" w:color="auto" w:sz="8" w:space="0"/>
              <w:left w:val="single" w:color="auto" w:sz="8" w:space="0"/>
              <w:bottom w:val="single" w:color="auto" w:sz="8" w:space="0"/>
              <w:right w:val="single" w:color="auto" w:sz="8" w:space="0"/>
            </w:tcBorders>
            <w:noWrap w:val="0"/>
            <w:vAlign w:val="top"/>
          </w:tcPr>
          <w:p w14:paraId="5508E6B1">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2021.11</w:t>
            </w:r>
          </w:p>
        </w:tc>
        <w:tc>
          <w:tcPr>
            <w:tcW w:w="430" w:type="pct"/>
            <w:tcBorders>
              <w:top w:val="single" w:color="auto" w:sz="8" w:space="0"/>
              <w:left w:val="single" w:color="auto" w:sz="8" w:space="0"/>
              <w:bottom w:val="single" w:color="auto" w:sz="8" w:space="0"/>
              <w:right w:val="single" w:color="auto" w:sz="8" w:space="0"/>
            </w:tcBorders>
            <w:noWrap w:val="0"/>
            <w:vAlign w:val="top"/>
          </w:tcPr>
          <w:p w14:paraId="7721F5B9">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许兆青</w:t>
            </w:r>
          </w:p>
        </w:tc>
        <w:tc>
          <w:tcPr>
            <w:tcW w:w="997" w:type="pct"/>
            <w:tcBorders>
              <w:top w:val="single" w:color="auto" w:sz="8" w:space="0"/>
              <w:left w:val="single" w:color="auto" w:sz="8" w:space="0"/>
              <w:bottom w:val="single" w:color="auto" w:sz="8" w:space="0"/>
              <w:right w:val="single" w:color="auto" w:sz="8" w:space="0"/>
            </w:tcBorders>
            <w:noWrap w:val="0"/>
            <w:vAlign w:val="top"/>
          </w:tcPr>
          <w:p w14:paraId="6CA95765">
            <w:pPr>
              <w:jc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王梦然</w:t>
            </w:r>
            <w:r>
              <w:rPr>
                <w:rFonts w:hint="eastAsia" w:ascii="宋体" w:hAnsi="宋体" w:cs="宋体"/>
                <w:sz w:val="24"/>
                <w:szCs w:val="24"/>
              </w:rPr>
              <w:t>、</w:t>
            </w:r>
            <w:r>
              <w:rPr>
                <w:rFonts w:hint="eastAsia" w:ascii="宋体" w:hAnsi="宋体" w:eastAsia="宋体" w:cs="宋体"/>
                <w:kern w:val="2"/>
                <w:sz w:val="24"/>
                <w:szCs w:val="24"/>
                <w:lang w:val="en-US" w:eastAsia="zh-CN" w:bidi="ar-SA"/>
              </w:rPr>
              <w:t>王超</w:t>
            </w:r>
            <w:r>
              <w:rPr>
                <w:rFonts w:hint="eastAsia" w:ascii="宋体" w:hAnsi="宋体" w:cs="宋体"/>
                <w:sz w:val="24"/>
                <w:szCs w:val="24"/>
              </w:rPr>
              <w:t>、</w:t>
            </w:r>
            <w:r>
              <w:rPr>
                <w:rFonts w:hint="eastAsia" w:ascii="宋体" w:hAnsi="宋体" w:eastAsia="宋体" w:cs="宋体"/>
                <w:kern w:val="2"/>
                <w:sz w:val="24"/>
                <w:szCs w:val="24"/>
                <w:lang w:val="en-US" w:eastAsia="zh-CN" w:bidi="ar-SA"/>
              </w:rPr>
              <w:t>火玉梅</w:t>
            </w:r>
            <w:r>
              <w:rPr>
                <w:rFonts w:hint="eastAsia" w:ascii="宋体" w:hAnsi="宋体" w:cs="宋体"/>
                <w:sz w:val="24"/>
                <w:szCs w:val="24"/>
              </w:rPr>
              <w:t>、</w:t>
            </w:r>
            <w:r>
              <w:rPr>
                <w:rFonts w:hint="eastAsia" w:ascii="宋体" w:hAnsi="宋体" w:eastAsia="宋体" w:cs="宋体"/>
                <w:kern w:val="2"/>
                <w:sz w:val="24"/>
                <w:szCs w:val="24"/>
                <w:lang w:val="en-US" w:eastAsia="zh-CN" w:bidi="ar-SA"/>
              </w:rPr>
              <w:t xml:space="preserve"> 党晓波</w:t>
            </w:r>
            <w:r>
              <w:rPr>
                <w:rFonts w:hint="eastAsia" w:ascii="宋体" w:hAnsi="宋体" w:cs="宋体"/>
                <w:sz w:val="24"/>
                <w:szCs w:val="24"/>
              </w:rPr>
              <w:t>、</w:t>
            </w:r>
            <w:r>
              <w:rPr>
                <w:rFonts w:hint="eastAsia" w:ascii="宋体" w:hAnsi="宋体" w:eastAsia="宋体" w:cs="宋体"/>
                <w:kern w:val="2"/>
                <w:sz w:val="24"/>
                <w:szCs w:val="24"/>
                <w:lang w:val="en-US" w:eastAsia="zh-CN" w:bidi="ar-SA"/>
              </w:rPr>
              <w:t>薛宏祥</w:t>
            </w:r>
            <w:r>
              <w:rPr>
                <w:rFonts w:hint="eastAsia" w:ascii="宋体" w:hAnsi="宋体" w:cs="宋体"/>
                <w:sz w:val="24"/>
                <w:szCs w:val="24"/>
              </w:rPr>
              <w:t>、</w:t>
            </w:r>
            <w:r>
              <w:rPr>
                <w:rFonts w:hint="eastAsia" w:ascii="宋体" w:hAnsi="宋体" w:eastAsia="宋体" w:cs="宋体"/>
                <w:kern w:val="2"/>
                <w:sz w:val="24"/>
                <w:szCs w:val="24"/>
                <w:lang w:val="en-US" w:eastAsia="zh-CN" w:bidi="ar-SA"/>
              </w:rPr>
              <w:t xml:space="preserve"> 刘良玉</w:t>
            </w:r>
            <w:r>
              <w:rPr>
                <w:rFonts w:hint="eastAsia" w:ascii="宋体" w:hAnsi="宋体" w:cs="宋体"/>
                <w:sz w:val="24"/>
                <w:szCs w:val="24"/>
              </w:rPr>
              <w:t>、</w:t>
            </w:r>
            <w:r>
              <w:rPr>
                <w:rFonts w:hint="eastAsia" w:ascii="宋体" w:hAnsi="宋体" w:eastAsia="宋体" w:cs="宋体"/>
                <w:kern w:val="2"/>
                <w:sz w:val="24"/>
                <w:szCs w:val="24"/>
                <w:lang w:val="en-US" w:eastAsia="zh-CN" w:bidi="ar-SA"/>
              </w:rPr>
              <w:t xml:space="preserve"> 柴宏礼</w:t>
            </w:r>
            <w:r>
              <w:rPr>
                <w:rFonts w:hint="eastAsia" w:ascii="宋体" w:hAnsi="宋体" w:cs="宋体"/>
                <w:sz w:val="24"/>
                <w:szCs w:val="24"/>
              </w:rPr>
              <w:t>、</w:t>
            </w:r>
            <w:r>
              <w:rPr>
                <w:rFonts w:hint="eastAsia" w:ascii="宋体" w:hAnsi="宋体" w:eastAsia="宋体" w:cs="宋体"/>
                <w:kern w:val="2"/>
                <w:sz w:val="24"/>
                <w:szCs w:val="24"/>
                <w:lang w:val="en-US" w:eastAsia="zh-CN" w:bidi="ar-SA"/>
              </w:rPr>
              <w:t>谢秀玲</w:t>
            </w:r>
            <w:r>
              <w:rPr>
                <w:rFonts w:hint="eastAsia" w:ascii="宋体" w:hAnsi="宋体" w:cs="宋体"/>
                <w:sz w:val="24"/>
                <w:szCs w:val="24"/>
              </w:rPr>
              <w:t>、</w:t>
            </w:r>
            <w:r>
              <w:rPr>
                <w:rFonts w:hint="eastAsia" w:ascii="宋体" w:hAnsi="宋体" w:eastAsia="宋体" w:cs="宋体"/>
                <w:kern w:val="2"/>
                <w:sz w:val="24"/>
                <w:szCs w:val="24"/>
                <w:lang w:val="en-US" w:eastAsia="zh-CN" w:bidi="ar-SA"/>
              </w:rPr>
              <w:t xml:space="preserve"> 李志轩</w:t>
            </w:r>
            <w:r>
              <w:rPr>
                <w:rFonts w:hint="eastAsia" w:ascii="宋体" w:hAnsi="宋体" w:cs="宋体"/>
                <w:sz w:val="24"/>
                <w:szCs w:val="24"/>
              </w:rPr>
              <w:t>、</w:t>
            </w:r>
            <w:r>
              <w:rPr>
                <w:rFonts w:hint="eastAsia" w:ascii="宋体" w:hAnsi="宋体" w:cs="宋体"/>
                <w:kern w:val="2"/>
                <w:sz w:val="24"/>
                <w:szCs w:val="24"/>
                <w:lang w:val="en-US" w:eastAsia="zh-CN" w:bidi="ar-SA"/>
              </w:rPr>
              <w:t>卢豆豆</w:t>
            </w:r>
            <w:r>
              <w:rPr>
                <w:rFonts w:hint="eastAsia" w:ascii="宋体" w:hAnsi="宋体" w:cs="宋体"/>
                <w:sz w:val="24"/>
                <w:szCs w:val="24"/>
              </w:rPr>
              <w:t>、</w:t>
            </w:r>
            <w:r>
              <w:rPr>
                <w:rFonts w:hint="eastAsia" w:ascii="宋体" w:hAnsi="宋体" w:eastAsia="宋体" w:cs="宋体"/>
                <w:kern w:val="2"/>
                <w:sz w:val="24"/>
                <w:szCs w:val="24"/>
                <w:lang w:val="en-US" w:eastAsia="zh-CN" w:bidi="ar-SA"/>
              </w:rPr>
              <w:t>许兆青</w:t>
            </w:r>
          </w:p>
        </w:tc>
        <w:tc>
          <w:tcPr>
            <w:tcW w:w="270" w:type="pct"/>
            <w:tcBorders>
              <w:top w:val="single" w:color="auto" w:sz="8" w:space="0"/>
              <w:left w:val="single" w:color="auto" w:sz="8" w:space="0"/>
              <w:bottom w:val="single" w:color="auto" w:sz="8" w:space="0"/>
              <w:right w:val="single" w:color="auto" w:sz="8" w:space="0"/>
            </w:tcBorders>
            <w:noWrap w:val="0"/>
            <w:vAlign w:val="top"/>
          </w:tcPr>
          <w:p w14:paraId="27B7B29B">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10</w:t>
            </w:r>
          </w:p>
        </w:tc>
      </w:tr>
      <w:tr w14:paraId="3B0B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2232C012">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13</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65FC967D">
            <w:pPr>
              <w:jc w:val="left"/>
              <w:rPr>
                <w:rFonts w:hint="eastAsia" w:ascii="宋体" w:hAnsi="宋体" w:eastAsia="宋体" w:cs="宋体"/>
                <w:kern w:val="2"/>
                <w:sz w:val="24"/>
                <w:szCs w:val="24"/>
                <w:lang w:val="en-US" w:eastAsia="zh-CN" w:bidi="ar-SA"/>
              </w:rPr>
            </w:pPr>
            <w:r>
              <w:rPr>
                <w:rFonts w:ascii="宋体" w:hAnsi="宋体" w:cs="宋体"/>
                <w:sz w:val="24"/>
                <w:szCs w:val="24"/>
              </w:rPr>
              <w:t>Effects of phenanthrene on oxidative stress and inflammation in lung and liver of female rats</w:t>
            </w:r>
          </w:p>
        </w:tc>
        <w:tc>
          <w:tcPr>
            <w:tcW w:w="735" w:type="pct"/>
            <w:tcBorders>
              <w:top w:val="single" w:color="auto" w:sz="8" w:space="0"/>
              <w:left w:val="single" w:color="auto" w:sz="8" w:space="0"/>
              <w:bottom w:val="single" w:color="auto" w:sz="8" w:space="0"/>
              <w:right w:val="single" w:color="auto" w:sz="8" w:space="0"/>
            </w:tcBorders>
            <w:noWrap w:val="0"/>
            <w:vAlign w:val="top"/>
          </w:tcPr>
          <w:p w14:paraId="615143E7">
            <w:pPr>
              <w:jc w:val="center"/>
              <w:rPr>
                <w:rFonts w:hint="eastAsia" w:ascii="宋体" w:hAnsi="宋体" w:eastAsia="宋体" w:cs="宋体"/>
                <w:kern w:val="2"/>
                <w:sz w:val="24"/>
                <w:szCs w:val="24"/>
                <w:lang w:val="en-US" w:eastAsia="zh-CN" w:bidi="ar-SA"/>
              </w:rPr>
            </w:pPr>
            <w:r>
              <w:rPr>
                <w:rFonts w:ascii="宋体" w:hAnsi="宋体" w:cs="宋体"/>
                <w:sz w:val="24"/>
                <w:szCs w:val="24"/>
              </w:rPr>
              <w:t>Environmental Toxicology</w:t>
            </w:r>
          </w:p>
        </w:tc>
        <w:tc>
          <w:tcPr>
            <w:tcW w:w="571" w:type="pct"/>
            <w:tcBorders>
              <w:top w:val="single" w:color="auto" w:sz="8" w:space="0"/>
              <w:left w:val="single" w:color="auto" w:sz="8" w:space="0"/>
              <w:bottom w:val="single" w:color="auto" w:sz="8" w:space="0"/>
              <w:right w:val="single" w:color="auto" w:sz="8" w:space="0"/>
            </w:tcBorders>
            <w:noWrap w:val="0"/>
            <w:vAlign w:val="top"/>
          </w:tcPr>
          <w:p w14:paraId="2A9175B6">
            <w:pPr>
              <w:jc w:val="left"/>
              <w:rPr>
                <w:rFonts w:hint="eastAsia" w:ascii="宋体" w:hAnsi="宋体" w:eastAsia="宋体" w:cs="宋体"/>
                <w:kern w:val="2"/>
                <w:sz w:val="24"/>
                <w:szCs w:val="24"/>
                <w:lang w:val="en-US" w:eastAsia="zh-CN" w:bidi="ar-SA"/>
              </w:rPr>
            </w:pPr>
            <w:r>
              <w:rPr>
                <w:rFonts w:ascii="宋体" w:hAnsi="宋体" w:cs="宋体"/>
                <w:sz w:val="24"/>
                <w:szCs w:val="24"/>
              </w:rPr>
              <w:t>2020;35(1):37-46</w:t>
            </w:r>
          </w:p>
        </w:tc>
        <w:tc>
          <w:tcPr>
            <w:tcW w:w="462" w:type="pct"/>
            <w:tcBorders>
              <w:top w:val="single" w:color="auto" w:sz="8" w:space="0"/>
              <w:left w:val="single" w:color="auto" w:sz="8" w:space="0"/>
              <w:bottom w:val="single" w:color="auto" w:sz="8" w:space="0"/>
              <w:right w:val="single" w:color="auto" w:sz="8" w:space="0"/>
            </w:tcBorders>
            <w:noWrap w:val="0"/>
            <w:vAlign w:val="top"/>
          </w:tcPr>
          <w:p w14:paraId="392E70DF">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2020.01</w:t>
            </w:r>
          </w:p>
        </w:tc>
        <w:tc>
          <w:tcPr>
            <w:tcW w:w="430" w:type="pct"/>
            <w:tcBorders>
              <w:top w:val="single" w:color="auto" w:sz="8" w:space="0"/>
              <w:left w:val="single" w:color="auto" w:sz="8" w:space="0"/>
              <w:bottom w:val="single" w:color="auto" w:sz="8" w:space="0"/>
              <w:right w:val="single" w:color="auto" w:sz="8" w:space="0"/>
            </w:tcBorders>
            <w:noWrap w:val="0"/>
            <w:vAlign w:val="top"/>
          </w:tcPr>
          <w:p w14:paraId="69FEADC0">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王俊玲</w:t>
            </w:r>
          </w:p>
        </w:tc>
        <w:tc>
          <w:tcPr>
            <w:tcW w:w="997" w:type="pct"/>
            <w:tcBorders>
              <w:top w:val="single" w:color="auto" w:sz="8" w:space="0"/>
              <w:left w:val="single" w:color="auto" w:sz="8" w:space="0"/>
              <w:bottom w:val="single" w:color="auto" w:sz="8" w:space="0"/>
              <w:right w:val="single" w:color="auto" w:sz="8" w:space="0"/>
            </w:tcBorders>
            <w:noWrap w:val="0"/>
            <w:vAlign w:val="top"/>
          </w:tcPr>
          <w:p w14:paraId="79081661">
            <w:pPr>
              <w:jc w:val="center"/>
              <w:rPr>
                <w:rFonts w:hint="eastAsia" w:ascii="宋体" w:hAnsi="宋体" w:eastAsia="宋体" w:cs="宋体"/>
                <w:kern w:val="2"/>
                <w:sz w:val="21"/>
                <w:szCs w:val="21"/>
                <w:lang w:val="en-US" w:eastAsia="zh-CN" w:bidi="ar-SA"/>
              </w:rPr>
            </w:pPr>
            <w:r>
              <w:rPr>
                <w:rFonts w:hint="eastAsia" w:ascii="宋体" w:hAnsi="宋体" w:cs="宋体"/>
                <w:szCs w:val="21"/>
              </w:rPr>
              <w:t>马海涛</w:t>
            </w:r>
            <w:r>
              <w:rPr>
                <w:rFonts w:hint="eastAsia" w:ascii="宋体" w:hAnsi="宋体" w:cs="宋体"/>
                <w:sz w:val="24"/>
                <w:szCs w:val="24"/>
              </w:rPr>
              <w:t>、</w:t>
            </w:r>
            <w:r>
              <w:rPr>
                <w:rFonts w:hint="eastAsia" w:ascii="宋体" w:hAnsi="宋体" w:cs="宋体"/>
                <w:szCs w:val="21"/>
              </w:rPr>
              <w:t>王惠玲</w:t>
            </w:r>
            <w:r>
              <w:rPr>
                <w:rFonts w:hint="eastAsia" w:ascii="宋体" w:hAnsi="宋体" w:cs="宋体"/>
                <w:sz w:val="24"/>
                <w:szCs w:val="24"/>
              </w:rPr>
              <w:t>、</w:t>
            </w:r>
            <w:r>
              <w:rPr>
                <w:rFonts w:hint="eastAsia" w:ascii="宋体" w:hAnsi="宋体" w:cs="宋体"/>
                <w:szCs w:val="21"/>
              </w:rPr>
              <w:t>张浩军</w:t>
            </w:r>
            <w:r>
              <w:rPr>
                <w:rFonts w:hint="eastAsia" w:ascii="宋体" w:hAnsi="宋体" w:cs="宋体"/>
                <w:sz w:val="24"/>
                <w:szCs w:val="24"/>
              </w:rPr>
              <w:t>、</w:t>
            </w:r>
            <w:r>
              <w:rPr>
                <w:rFonts w:hint="eastAsia" w:ascii="宋体" w:hAnsi="宋体" w:cs="宋体"/>
                <w:szCs w:val="21"/>
              </w:rPr>
              <w:t>郭慧珍</w:t>
            </w:r>
            <w:r>
              <w:rPr>
                <w:rFonts w:hint="eastAsia" w:ascii="宋体" w:hAnsi="宋体" w:cs="宋体"/>
                <w:sz w:val="24"/>
                <w:szCs w:val="24"/>
              </w:rPr>
              <w:t>、</w:t>
            </w:r>
            <w:r>
              <w:rPr>
                <w:rFonts w:hint="eastAsia" w:ascii="宋体" w:hAnsi="宋体" w:cs="宋体"/>
                <w:szCs w:val="21"/>
              </w:rPr>
              <w:t>张雯雯</w:t>
            </w:r>
            <w:r>
              <w:rPr>
                <w:rFonts w:hint="eastAsia" w:ascii="宋体" w:hAnsi="宋体" w:cs="宋体"/>
                <w:sz w:val="24"/>
                <w:szCs w:val="24"/>
              </w:rPr>
              <w:t>、</w:t>
            </w:r>
            <w:r>
              <w:rPr>
                <w:rFonts w:hint="eastAsia" w:ascii="宋体" w:hAnsi="宋体" w:cs="宋体"/>
                <w:szCs w:val="21"/>
              </w:rPr>
              <w:t>胡逢静</w:t>
            </w:r>
            <w:r>
              <w:rPr>
                <w:rFonts w:hint="eastAsia" w:ascii="宋体" w:hAnsi="宋体" w:cs="宋体"/>
                <w:sz w:val="24"/>
                <w:szCs w:val="24"/>
              </w:rPr>
              <w:t>、</w:t>
            </w:r>
            <w:r>
              <w:rPr>
                <w:rFonts w:hint="eastAsia" w:ascii="宋体" w:hAnsi="宋体" w:cs="宋体"/>
                <w:szCs w:val="21"/>
              </w:rPr>
              <w:t>姚月丽</w:t>
            </w:r>
            <w:r>
              <w:rPr>
                <w:rFonts w:hint="eastAsia" w:ascii="宋体" w:hAnsi="宋体" w:cs="宋体"/>
                <w:sz w:val="24"/>
                <w:szCs w:val="24"/>
              </w:rPr>
              <w:t>、</w:t>
            </w:r>
            <w:r>
              <w:rPr>
                <w:rFonts w:hint="eastAsia" w:ascii="宋体" w:hAnsi="宋体" w:cs="宋体"/>
                <w:szCs w:val="21"/>
              </w:rPr>
              <w:t>王栋</w:t>
            </w:r>
            <w:r>
              <w:rPr>
                <w:rFonts w:hint="eastAsia" w:ascii="宋体" w:hAnsi="宋体" w:cs="宋体"/>
                <w:sz w:val="24"/>
                <w:szCs w:val="24"/>
              </w:rPr>
              <w:t>、</w:t>
            </w:r>
            <w:r>
              <w:rPr>
                <w:rFonts w:hint="eastAsia" w:ascii="宋体" w:hAnsi="宋体" w:cs="宋体"/>
                <w:szCs w:val="21"/>
              </w:rPr>
              <w:t>李成云</w:t>
            </w:r>
            <w:r>
              <w:rPr>
                <w:rFonts w:hint="eastAsia" w:ascii="宋体" w:hAnsi="宋体" w:cs="宋体"/>
                <w:sz w:val="24"/>
                <w:szCs w:val="24"/>
              </w:rPr>
              <w:t>、</w:t>
            </w:r>
            <w:r>
              <w:rPr>
                <w:rFonts w:hint="eastAsia" w:ascii="宋体" w:hAnsi="宋体" w:cs="宋体"/>
                <w:szCs w:val="21"/>
              </w:rPr>
              <w:t>王俊玲</w:t>
            </w:r>
          </w:p>
        </w:tc>
        <w:tc>
          <w:tcPr>
            <w:tcW w:w="270" w:type="pct"/>
            <w:tcBorders>
              <w:top w:val="single" w:color="auto" w:sz="8" w:space="0"/>
              <w:left w:val="single" w:color="auto" w:sz="8" w:space="0"/>
              <w:bottom w:val="single" w:color="auto" w:sz="8" w:space="0"/>
              <w:right w:val="single" w:color="auto" w:sz="8" w:space="0"/>
            </w:tcBorders>
            <w:noWrap w:val="0"/>
            <w:vAlign w:val="top"/>
          </w:tcPr>
          <w:p w14:paraId="76AE7F18">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13</w:t>
            </w:r>
          </w:p>
        </w:tc>
      </w:tr>
      <w:tr w14:paraId="2F45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1"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51FABB7B">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14</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4725742D">
            <w:pPr>
              <w:jc w:val="left"/>
              <w:rPr>
                <w:rFonts w:ascii="宋体" w:hAnsi="宋体" w:cs="宋体"/>
                <w:sz w:val="24"/>
                <w:szCs w:val="24"/>
              </w:rPr>
            </w:pPr>
            <w:r>
              <w:rPr>
                <w:rFonts w:ascii="宋体" w:hAnsi="宋体" w:cs="宋体"/>
                <w:sz w:val="24"/>
                <w:szCs w:val="24"/>
              </w:rPr>
              <w:t xml:space="preserve">Calpain inhibitor prevents atherosclerosis in apolipoprotein E knockout </w:t>
            </w:r>
          </w:p>
          <w:p w14:paraId="06DF3FCD">
            <w:pPr>
              <w:jc w:val="left"/>
              <w:rPr>
                <w:rFonts w:ascii="宋体" w:hAnsi="宋体" w:cs="宋体"/>
                <w:sz w:val="24"/>
                <w:szCs w:val="24"/>
              </w:rPr>
            </w:pPr>
            <w:r>
              <w:rPr>
                <w:rFonts w:ascii="宋体" w:hAnsi="宋体" w:cs="宋体"/>
                <w:sz w:val="24"/>
                <w:szCs w:val="24"/>
              </w:rPr>
              <w:t xml:space="preserve">mice by regulating mRNA expression of genes related to cholesterol uptake </w:t>
            </w:r>
          </w:p>
          <w:p w14:paraId="40FF6013">
            <w:pPr>
              <w:jc w:val="left"/>
              <w:rPr>
                <w:rFonts w:hint="eastAsia" w:ascii="宋体" w:hAnsi="宋体" w:eastAsia="宋体" w:cs="宋体"/>
                <w:kern w:val="2"/>
                <w:sz w:val="24"/>
                <w:szCs w:val="24"/>
                <w:lang w:val="en-US" w:eastAsia="zh-CN" w:bidi="ar-SA"/>
              </w:rPr>
            </w:pPr>
            <w:r>
              <w:rPr>
                <w:rFonts w:ascii="宋体" w:hAnsi="宋体" w:cs="宋体"/>
                <w:sz w:val="24"/>
                <w:szCs w:val="24"/>
              </w:rPr>
              <w:t>and efflux</w:t>
            </w:r>
          </w:p>
        </w:tc>
        <w:tc>
          <w:tcPr>
            <w:tcW w:w="735" w:type="pct"/>
            <w:tcBorders>
              <w:top w:val="single" w:color="auto" w:sz="8" w:space="0"/>
              <w:left w:val="single" w:color="auto" w:sz="8" w:space="0"/>
              <w:bottom w:val="single" w:color="auto" w:sz="8" w:space="0"/>
              <w:right w:val="single" w:color="auto" w:sz="8" w:space="0"/>
            </w:tcBorders>
            <w:noWrap w:val="0"/>
            <w:vAlign w:val="top"/>
          </w:tcPr>
          <w:p w14:paraId="017CB71C">
            <w:pPr>
              <w:jc w:val="center"/>
              <w:rPr>
                <w:rFonts w:hint="eastAsia" w:ascii="宋体" w:hAnsi="宋体" w:eastAsia="宋体" w:cs="宋体"/>
                <w:kern w:val="2"/>
                <w:sz w:val="24"/>
                <w:szCs w:val="24"/>
                <w:lang w:val="en-US" w:eastAsia="zh-CN" w:bidi="ar-SA"/>
              </w:rPr>
            </w:pPr>
            <w:r>
              <w:rPr>
                <w:rFonts w:ascii="宋体" w:hAnsi="宋体" w:cs="宋体"/>
                <w:sz w:val="24"/>
                <w:szCs w:val="24"/>
              </w:rPr>
              <w:t>Microvascular Research</w:t>
            </w:r>
          </w:p>
        </w:tc>
        <w:tc>
          <w:tcPr>
            <w:tcW w:w="571" w:type="pct"/>
            <w:tcBorders>
              <w:top w:val="single" w:color="auto" w:sz="8" w:space="0"/>
              <w:left w:val="single" w:color="auto" w:sz="8" w:space="0"/>
              <w:bottom w:val="single" w:color="auto" w:sz="8" w:space="0"/>
              <w:right w:val="single" w:color="auto" w:sz="8" w:space="0"/>
            </w:tcBorders>
            <w:noWrap w:val="0"/>
            <w:vAlign w:val="top"/>
          </w:tcPr>
          <w:p w14:paraId="007CF1FB">
            <w:pPr>
              <w:jc w:val="left"/>
              <w:rPr>
                <w:rFonts w:hint="eastAsia" w:ascii="宋体" w:hAnsi="宋体" w:eastAsia="宋体" w:cs="宋体"/>
                <w:kern w:val="2"/>
                <w:sz w:val="24"/>
                <w:szCs w:val="24"/>
                <w:lang w:val="en-US" w:eastAsia="zh-CN" w:bidi="ar-SA"/>
              </w:rPr>
            </w:pPr>
            <w:r>
              <w:rPr>
                <w:rFonts w:ascii="宋体" w:hAnsi="宋体" w:cs="宋体"/>
                <w:sz w:val="24"/>
                <w:szCs w:val="24"/>
              </w:rPr>
              <w:t>2022;140:104276</w:t>
            </w:r>
          </w:p>
        </w:tc>
        <w:tc>
          <w:tcPr>
            <w:tcW w:w="462" w:type="pct"/>
            <w:tcBorders>
              <w:top w:val="single" w:color="auto" w:sz="8" w:space="0"/>
              <w:left w:val="single" w:color="auto" w:sz="8" w:space="0"/>
              <w:bottom w:val="single" w:color="auto" w:sz="8" w:space="0"/>
              <w:right w:val="single" w:color="auto" w:sz="8" w:space="0"/>
            </w:tcBorders>
            <w:noWrap w:val="0"/>
            <w:vAlign w:val="top"/>
          </w:tcPr>
          <w:p w14:paraId="61C82AF3">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2022.03</w:t>
            </w:r>
          </w:p>
        </w:tc>
        <w:tc>
          <w:tcPr>
            <w:tcW w:w="430" w:type="pct"/>
            <w:tcBorders>
              <w:top w:val="single" w:color="auto" w:sz="8" w:space="0"/>
              <w:left w:val="single" w:color="auto" w:sz="8" w:space="0"/>
              <w:bottom w:val="single" w:color="auto" w:sz="8" w:space="0"/>
              <w:right w:val="single" w:color="auto" w:sz="8" w:space="0"/>
            </w:tcBorders>
            <w:noWrap w:val="0"/>
            <w:vAlign w:val="top"/>
          </w:tcPr>
          <w:p w14:paraId="260DBDCE">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唐富天</w:t>
            </w:r>
          </w:p>
        </w:tc>
        <w:tc>
          <w:tcPr>
            <w:tcW w:w="997" w:type="pct"/>
            <w:tcBorders>
              <w:top w:val="single" w:color="auto" w:sz="8" w:space="0"/>
              <w:left w:val="single" w:color="auto" w:sz="8" w:space="0"/>
              <w:bottom w:val="single" w:color="auto" w:sz="8" w:space="0"/>
              <w:right w:val="single" w:color="auto" w:sz="8" w:space="0"/>
            </w:tcBorders>
            <w:noWrap w:val="0"/>
            <w:vAlign w:val="top"/>
          </w:tcPr>
          <w:p w14:paraId="643AC2C3">
            <w:pPr>
              <w:jc w:val="center"/>
              <w:rPr>
                <w:rFonts w:hint="eastAsia" w:ascii="宋体" w:hAnsi="宋体" w:eastAsia="宋体" w:cs="宋体"/>
                <w:kern w:val="2"/>
                <w:sz w:val="21"/>
                <w:szCs w:val="21"/>
                <w:lang w:val="en-US" w:eastAsia="zh-CN" w:bidi="ar-SA"/>
              </w:rPr>
            </w:pPr>
            <w:r>
              <w:rPr>
                <w:rFonts w:hint="eastAsia" w:ascii="宋体" w:hAnsi="宋体" w:cs="宋体"/>
                <w:szCs w:val="21"/>
              </w:rPr>
              <w:t>刘继新</w:t>
            </w:r>
            <w:r>
              <w:rPr>
                <w:rFonts w:hint="eastAsia" w:ascii="宋体" w:hAnsi="宋体" w:cs="宋体"/>
                <w:sz w:val="24"/>
                <w:szCs w:val="24"/>
              </w:rPr>
              <w:t>、</w:t>
            </w:r>
            <w:r>
              <w:rPr>
                <w:rFonts w:hint="eastAsia" w:ascii="宋体" w:hAnsi="宋体" w:cs="宋体"/>
                <w:szCs w:val="21"/>
              </w:rPr>
              <w:t>王秋宁</w:t>
            </w:r>
            <w:r>
              <w:rPr>
                <w:rFonts w:hint="eastAsia" w:ascii="宋体" w:hAnsi="宋体" w:cs="宋体"/>
                <w:sz w:val="24"/>
                <w:szCs w:val="24"/>
              </w:rPr>
              <w:t>、</w:t>
            </w:r>
            <w:r>
              <w:rPr>
                <w:rFonts w:hint="eastAsia" w:ascii="宋体" w:hAnsi="宋体" w:cs="宋体"/>
                <w:szCs w:val="21"/>
              </w:rPr>
              <w:t>魏域杰</w:t>
            </w:r>
            <w:r>
              <w:rPr>
                <w:rFonts w:hint="eastAsia" w:ascii="宋体" w:hAnsi="宋体" w:cs="宋体"/>
                <w:sz w:val="24"/>
                <w:szCs w:val="24"/>
              </w:rPr>
              <w:t>、</w:t>
            </w:r>
            <w:r>
              <w:rPr>
                <w:rFonts w:hint="eastAsia" w:ascii="宋体" w:hAnsi="宋体" w:cs="宋体"/>
                <w:szCs w:val="21"/>
              </w:rPr>
              <w:t>张世宁</w:t>
            </w:r>
            <w:r>
              <w:rPr>
                <w:rFonts w:hint="eastAsia" w:ascii="宋体" w:hAnsi="宋体" w:cs="宋体"/>
                <w:sz w:val="24"/>
                <w:szCs w:val="24"/>
              </w:rPr>
              <w:t>、</w:t>
            </w:r>
            <w:r>
              <w:rPr>
                <w:rFonts w:hint="eastAsia" w:ascii="宋体" w:hAnsi="宋体" w:cs="宋体"/>
                <w:szCs w:val="21"/>
              </w:rPr>
              <w:t>柴尔青</w:t>
            </w:r>
            <w:r>
              <w:rPr>
                <w:rFonts w:hint="eastAsia" w:ascii="宋体" w:hAnsi="宋体" w:cs="宋体"/>
                <w:sz w:val="24"/>
                <w:szCs w:val="24"/>
              </w:rPr>
              <w:t>、</w:t>
            </w:r>
            <w:r>
              <w:rPr>
                <w:rFonts w:hint="eastAsia" w:ascii="宋体" w:hAnsi="宋体" w:cs="宋体"/>
                <w:szCs w:val="21"/>
              </w:rPr>
              <w:t>唐富天</w:t>
            </w:r>
          </w:p>
        </w:tc>
        <w:tc>
          <w:tcPr>
            <w:tcW w:w="270" w:type="pct"/>
            <w:tcBorders>
              <w:top w:val="single" w:color="auto" w:sz="8" w:space="0"/>
              <w:left w:val="single" w:color="auto" w:sz="8" w:space="0"/>
              <w:bottom w:val="single" w:color="auto" w:sz="8" w:space="0"/>
              <w:right w:val="single" w:color="auto" w:sz="8" w:space="0"/>
            </w:tcBorders>
            <w:noWrap w:val="0"/>
            <w:vAlign w:val="top"/>
          </w:tcPr>
          <w:p w14:paraId="0214DA72">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w:t>
            </w:r>
          </w:p>
        </w:tc>
      </w:tr>
      <w:tr w14:paraId="42BA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19216656">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15</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11B7F3FE">
            <w:pPr>
              <w:jc w:val="left"/>
              <w:rPr>
                <w:rFonts w:ascii="宋体" w:hAnsi="宋体" w:cs="宋体"/>
                <w:sz w:val="24"/>
                <w:szCs w:val="24"/>
              </w:rPr>
            </w:pPr>
            <w:r>
              <w:rPr>
                <w:rFonts w:ascii="宋体" w:hAnsi="宋体" w:cs="宋体"/>
                <w:sz w:val="24"/>
                <w:szCs w:val="24"/>
              </w:rPr>
              <w:t>Differences in Akt signaling</w:t>
            </w:r>
          </w:p>
          <w:p w14:paraId="2D99922B">
            <w:pPr>
              <w:jc w:val="left"/>
              <w:rPr>
                <w:rFonts w:hint="eastAsia" w:ascii="宋体" w:hAnsi="宋体" w:eastAsia="宋体" w:cs="宋体"/>
                <w:kern w:val="2"/>
                <w:sz w:val="24"/>
                <w:szCs w:val="24"/>
                <w:lang w:val="en-US" w:eastAsia="zh-CN" w:bidi="ar-SA"/>
              </w:rPr>
            </w:pPr>
            <w:r>
              <w:rPr>
                <w:rFonts w:ascii="宋体" w:hAnsi="宋体" w:cs="宋体"/>
                <w:sz w:val="24"/>
                <w:szCs w:val="24"/>
              </w:rPr>
              <w:t>and metabolism gene expression in the right</w:t>
            </w:r>
            <w:r>
              <w:rPr>
                <w:rFonts w:hint="eastAsia" w:ascii="宋体" w:hAnsi="宋体" w:cs="宋体"/>
                <w:sz w:val="24"/>
                <w:szCs w:val="24"/>
                <w:lang w:val="en-US" w:eastAsia="zh-CN"/>
              </w:rPr>
              <w:t xml:space="preserve"> </w:t>
            </w:r>
            <w:r>
              <w:rPr>
                <w:rFonts w:ascii="宋体" w:hAnsi="宋体" w:cs="宋体"/>
                <w:sz w:val="24"/>
                <w:szCs w:val="24"/>
              </w:rPr>
              <w:t>heart, intraventricular septum and left heart of rodents</w:t>
            </w:r>
          </w:p>
        </w:tc>
        <w:tc>
          <w:tcPr>
            <w:tcW w:w="735" w:type="pct"/>
            <w:tcBorders>
              <w:top w:val="single" w:color="auto" w:sz="8" w:space="0"/>
              <w:left w:val="single" w:color="auto" w:sz="8" w:space="0"/>
              <w:bottom w:val="single" w:color="auto" w:sz="8" w:space="0"/>
              <w:right w:val="single" w:color="auto" w:sz="8" w:space="0"/>
            </w:tcBorders>
            <w:noWrap w:val="0"/>
            <w:vAlign w:val="top"/>
          </w:tcPr>
          <w:p w14:paraId="25A973C3">
            <w:pPr>
              <w:jc w:val="center"/>
              <w:rPr>
                <w:rFonts w:hint="eastAsia" w:ascii="宋体" w:hAnsi="宋体" w:eastAsia="宋体" w:cs="宋体"/>
                <w:kern w:val="2"/>
                <w:sz w:val="24"/>
                <w:szCs w:val="24"/>
                <w:lang w:val="en-US" w:eastAsia="zh-CN" w:bidi="ar-SA"/>
              </w:rPr>
            </w:pPr>
            <w:r>
              <w:rPr>
                <w:rFonts w:ascii="宋体" w:hAnsi="宋体" w:cs="宋体"/>
                <w:sz w:val="24"/>
                <w:szCs w:val="24"/>
              </w:rPr>
              <w:t>International Journal of Clinical and Experimental Pathology</w:t>
            </w:r>
          </w:p>
        </w:tc>
        <w:tc>
          <w:tcPr>
            <w:tcW w:w="571" w:type="pct"/>
            <w:tcBorders>
              <w:top w:val="single" w:color="auto" w:sz="8" w:space="0"/>
              <w:left w:val="single" w:color="auto" w:sz="8" w:space="0"/>
              <w:bottom w:val="single" w:color="auto" w:sz="8" w:space="0"/>
              <w:right w:val="single" w:color="auto" w:sz="8" w:space="0"/>
            </w:tcBorders>
            <w:noWrap w:val="0"/>
            <w:vAlign w:val="top"/>
          </w:tcPr>
          <w:p w14:paraId="3862F80D">
            <w:pPr>
              <w:jc w:val="left"/>
              <w:rPr>
                <w:rFonts w:hint="eastAsia" w:ascii="宋体" w:hAnsi="宋体" w:eastAsia="宋体" w:cs="宋体"/>
                <w:kern w:val="2"/>
                <w:sz w:val="24"/>
                <w:szCs w:val="24"/>
                <w:lang w:val="en-US" w:eastAsia="zh-CN" w:bidi="ar-SA"/>
              </w:rPr>
            </w:pPr>
            <w:r>
              <w:rPr>
                <w:rFonts w:ascii="宋体" w:hAnsi="宋体" w:cs="宋体"/>
                <w:sz w:val="24"/>
                <w:szCs w:val="24"/>
              </w:rPr>
              <w:t>2015;8(10):12915-12921</w:t>
            </w:r>
          </w:p>
        </w:tc>
        <w:tc>
          <w:tcPr>
            <w:tcW w:w="462" w:type="pct"/>
            <w:tcBorders>
              <w:top w:val="single" w:color="auto" w:sz="8" w:space="0"/>
              <w:left w:val="single" w:color="auto" w:sz="8" w:space="0"/>
              <w:bottom w:val="single" w:color="auto" w:sz="8" w:space="0"/>
              <w:right w:val="single" w:color="auto" w:sz="8" w:space="0"/>
            </w:tcBorders>
            <w:noWrap w:val="0"/>
            <w:vAlign w:val="top"/>
          </w:tcPr>
          <w:p w14:paraId="7BBE9A36">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2015.10</w:t>
            </w:r>
          </w:p>
        </w:tc>
        <w:tc>
          <w:tcPr>
            <w:tcW w:w="430" w:type="pct"/>
            <w:tcBorders>
              <w:top w:val="single" w:color="auto" w:sz="8" w:space="0"/>
              <w:left w:val="single" w:color="auto" w:sz="8" w:space="0"/>
              <w:bottom w:val="single" w:color="auto" w:sz="8" w:space="0"/>
              <w:right w:val="single" w:color="auto" w:sz="8" w:space="0"/>
            </w:tcBorders>
            <w:noWrap w:val="0"/>
            <w:vAlign w:val="top"/>
          </w:tcPr>
          <w:p w14:paraId="7DA1062C">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曹云山</w:t>
            </w:r>
          </w:p>
        </w:tc>
        <w:tc>
          <w:tcPr>
            <w:tcW w:w="997" w:type="pct"/>
            <w:tcBorders>
              <w:top w:val="single" w:color="auto" w:sz="8" w:space="0"/>
              <w:left w:val="single" w:color="auto" w:sz="8" w:space="0"/>
              <w:bottom w:val="single" w:color="auto" w:sz="8" w:space="0"/>
              <w:right w:val="single" w:color="auto" w:sz="8" w:space="0"/>
            </w:tcBorders>
            <w:noWrap w:val="0"/>
            <w:vAlign w:val="top"/>
          </w:tcPr>
          <w:p w14:paraId="6C78FAD2">
            <w:pPr>
              <w:jc w:val="center"/>
              <w:rPr>
                <w:rFonts w:hint="eastAsia" w:ascii="宋体" w:hAnsi="宋体" w:eastAsia="宋体" w:cs="宋体"/>
                <w:kern w:val="2"/>
                <w:sz w:val="21"/>
                <w:szCs w:val="21"/>
                <w:lang w:val="en-US" w:eastAsia="zh-CN" w:bidi="ar-SA"/>
              </w:rPr>
            </w:pPr>
            <w:r>
              <w:rPr>
                <w:rFonts w:hint="eastAsia" w:ascii="宋体" w:hAnsi="宋体" w:cs="宋体"/>
                <w:szCs w:val="21"/>
              </w:rPr>
              <w:t>宋继洋</w:t>
            </w:r>
            <w:r>
              <w:rPr>
                <w:rFonts w:hint="eastAsia" w:ascii="宋体" w:hAnsi="宋体" w:cs="宋体"/>
                <w:sz w:val="24"/>
                <w:szCs w:val="24"/>
              </w:rPr>
              <w:t>、</w:t>
            </w:r>
            <w:r>
              <w:rPr>
                <w:rFonts w:hint="eastAsia" w:ascii="宋体" w:hAnsi="宋体" w:cs="宋体"/>
                <w:szCs w:val="21"/>
              </w:rPr>
              <w:t>张敏</w:t>
            </w:r>
            <w:r>
              <w:rPr>
                <w:rFonts w:hint="eastAsia" w:ascii="宋体" w:hAnsi="宋体" w:cs="宋体"/>
                <w:sz w:val="24"/>
                <w:szCs w:val="24"/>
              </w:rPr>
              <w:t>、</w:t>
            </w:r>
            <w:r>
              <w:rPr>
                <w:rFonts w:hint="eastAsia" w:ascii="宋体" w:hAnsi="宋体" w:cs="宋体"/>
                <w:szCs w:val="21"/>
              </w:rPr>
              <w:t>张炎</w:t>
            </w:r>
            <w:r>
              <w:rPr>
                <w:rFonts w:hint="eastAsia" w:ascii="宋体" w:hAnsi="宋体" w:cs="宋体"/>
                <w:sz w:val="24"/>
                <w:szCs w:val="24"/>
              </w:rPr>
              <w:t>、</w:t>
            </w:r>
            <w:r>
              <w:rPr>
                <w:rFonts w:hint="eastAsia" w:ascii="宋体" w:hAnsi="宋体" w:cs="宋体"/>
                <w:szCs w:val="21"/>
              </w:rPr>
              <w:t>李新立</w:t>
            </w:r>
            <w:r>
              <w:rPr>
                <w:rFonts w:hint="eastAsia" w:ascii="宋体" w:hAnsi="宋体" w:cs="宋体"/>
                <w:sz w:val="24"/>
                <w:szCs w:val="24"/>
              </w:rPr>
              <w:t>、</w:t>
            </w:r>
            <w:r>
              <w:rPr>
                <w:rFonts w:hint="eastAsia" w:ascii="宋体" w:hAnsi="宋体" w:cs="宋体"/>
                <w:szCs w:val="21"/>
              </w:rPr>
              <w:t>王楠</w:t>
            </w:r>
            <w:r>
              <w:rPr>
                <w:rFonts w:hint="eastAsia" w:ascii="宋体" w:hAnsi="宋体" w:cs="宋体"/>
                <w:sz w:val="24"/>
                <w:szCs w:val="24"/>
              </w:rPr>
              <w:t>、</w:t>
            </w:r>
            <w:r>
              <w:rPr>
                <w:rFonts w:hint="eastAsia" w:ascii="宋体" w:hAnsi="宋体" w:cs="宋体"/>
                <w:szCs w:val="21"/>
              </w:rPr>
              <w:t>曹云山</w:t>
            </w:r>
          </w:p>
        </w:tc>
        <w:tc>
          <w:tcPr>
            <w:tcW w:w="270" w:type="pct"/>
            <w:tcBorders>
              <w:top w:val="single" w:color="auto" w:sz="8" w:space="0"/>
              <w:left w:val="single" w:color="auto" w:sz="8" w:space="0"/>
              <w:bottom w:val="single" w:color="auto" w:sz="8" w:space="0"/>
              <w:right w:val="single" w:color="auto" w:sz="8" w:space="0"/>
            </w:tcBorders>
            <w:noWrap w:val="0"/>
            <w:vAlign w:val="top"/>
          </w:tcPr>
          <w:p w14:paraId="23ABA3A1">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3</w:t>
            </w:r>
          </w:p>
        </w:tc>
      </w:tr>
      <w:tr w14:paraId="5728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3C68F39D">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16</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1DBB755F">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艾司洛尔对脓毒症患者心肌损伤的保护作用</w:t>
            </w:r>
          </w:p>
        </w:tc>
        <w:tc>
          <w:tcPr>
            <w:tcW w:w="735" w:type="pct"/>
            <w:tcBorders>
              <w:top w:val="single" w:color="auto" w:sz="8" w:space="0"/>
              <w:left w:val="single" w:color="auto" w:sz="8" w:space="0"/>
              <w:bottom w:val="single" w:color="auto" w:sz="8" w:space="0"/>
              <w:right w:val="single" w:color="auto" w:sz="8" w:space="0"/>
            </w:tcBorders>
            <w:noWrap w:val="0"/>
            <w:vAlign w:val="top"/>
          </w:tcPr>
          <w:p w14:paraId="4DF08472">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中国急救医学</w:t>
            </w:r>
          </w:p>
        </w:tc>
        <w:tc>
          <w:tcPr>
            <w:tcW w:w="571" w:type="pct"/>
            <w:tcBorders>
              <w:top w:val="single" w:color="auto" w:sz="8" w:space="0"/>
              <w:left w:val="single" w:color="auto" w:sz="8" w:space="0"/>
              <w:bottom w:val="single" w:color="auto" w:sz="8" w:space="0"/>
              <w:right w:val="single" w:color="auto" w:sz="8" w:space="0"/>
            </w:tcBorders>
            <w:noWrap w:val="0"/>
            <w:vAlign w:val="top"/>
          </w:tcPr>
          <w:p w14:paraId="6DD26241">
            <w:pPr>
              <w:jc w:val="left"/>
              <w:rPr>
                <w:rFonts w:hint="eastAsia" w:ascii="宋体" w:hAnsi="宋体" w:eastAsia="宋体" w:cs="宋体"/>
                <w:kern w:val="2"/>
                <w:sz w:val="24"/>
                <w:szCs w:val="24"/>
                <w:lang w:val="en-US" w:eastAsia="zh-CN" w:bidi="ar-SA"/>
              </w:rPr>
            </w:pPr>
            <w:r>
              <w:rPr>
                <w:rFonts w:ascii="宋体" w:hAnsi="宋体" w:cs="宋体"/>
                <w:sz w:val="24"/>
                <w:szCs w:val="24"/>
              </w:rPr>
              <w:t>2015,35(08):678-682</w:t>
            </w:r>
          </w:p>
        </w:tc>
        <w:tc>
          <w:tcPr>
            <w:tcW w:w="462" w:type="pct"/>
            <w:tcBorders>
              <w:top w:val="single" w:color="auto" w:sz="8" w:space="0"/>
              <w:left w:val="single" w:color="auto" w:sz="8" w:space="0"/>
              <w:bottom w:val="single" w:color="auto" w:sz="8" w:space="0"/>
              <w:right w:val="single" w:color="auto" w:sz="8" w:space="0"/>
            </w:tcBorders>
            <w:noWrap w:val="0"/>
            <w:vAlign w:val="top"/>
          </w:tcPr>
          <w:p w14:paraId="2846D103">
            <w:pPr>
              <w:jc w:val="center"/>
              <w:rPr>
                <w:rFonts w:hint="eastAsia" w:ascii="宋体" w:hAnsi="宋体" w:eastAsia="宋体" w:cs="宋体"/>
                <w:kern w:val="2"/>
                <w:sz w:val="24"/>
                <w:szCs w:val="24"/>
                <w:lang w:val="en-US" w:eastAsia="zh-CN" w:bidi="ar-SA"/>
              </w:rPr>
            </w:pPr>
            <w:r>
              <w:rPr>
                <w:rFonts w:hint="eastAsia" w:ascii="宋体" w:hAnsi="宋体" w:cs="宋体"/>
                <w:szCs w:val="21"/>
              </w:rPr>
              <w:t>2015.08</w:t>
            </w:r>
          </w:p>
        </w:tc>
        <w:tc>
          <w:tcPr>
            <w:tcW w:w="430" w:type="pct"/>
            <w:tcBorders>
              <w:top w:val="single" w:color="auto" w:sz="8" w:space="0"/>
              <w:left w:val="single" w:color="auto" w:sz="8" w:space="0"/>
              <w:bottom w:val="single" w:color="auto" w:sz="8" w:space="0"/>
              <w:right w:val="single" w:color="auto" w:sz="8" w:space="0"/>
            </w:tcBorders>
            <w:noWrap w:val="0"/>
            <w:vAlign w:val="top"/>
          </w:tcPr>
          <w:p w14:paraId="3ADEED79">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曹雯</w:t>
            </w:r>
          </w:p>
        </w:tc>
        <w:tc>
          <w:tcPr>
            <w:tcW w:w="997" w:type="pct"/>
            <w:tcBorders>
              <w:top w:val="single" w:color="auto" w:sz="8" w:space="0"/>
              <w:left w:val="single" w:color="auto" w:sz="8" w:space="0"/>
              <w:bottom w:val="single" w:color="auto" w:sz="8" w:space="0"/>
              <w:right w:val="single" w:color="auto" w:sz="8" w:space="0"/>
            </w:tcBorders>
            <w:noWrap w:val="0"/>
            <w:vAlign w:val="top"/>
          </w:tcPr>
          <w:p w14:paraId="2F3DCB7D">
            <w:pPr>
              <w:jc w:val="center"/>
              <w:rPr>
                <w:rFonts w:hint="eastAsia" w:ascii="宋体" w:hAnsi="宋体" w:cs="宋体"/>
                <w:sz w:val="24"/>
                <w:szCs w:val="24"/>
              </w:rPr>
            </w:pPr>
            <w:r>
              <w:rPr>
                <w:rFonts w:hint="eastAsia" w:ascii="宋体" w:hAnsi="宋体" w:cs="宋体"/>
                <w:sz w:val="24"/>
                <w:szCs w:val="24"/>
              </w:rPr>
              <w:t>高雪花、曹雯、关银、罗延年、连佛彦、何囡囡、</w:t>
            </w:r>
          </w:p>
          <w:p w14:paraId="7C7D20CD">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王雪婷、李培杰</w:t>
            </w:r>
          </w:p>
        </w:tc>
        <w:tc>
          <w:tcPr>
            <w:tcW w:w="270" w:type="pct"/>
            <w:tcBorders>
              <w:top w:val="single" w:color="auto" w:sz="8" w:space="0"/>
              <w:left w:val="single" w:color="auto" w:sz="8" w:space="0"/>
              <w:bottom w:val="single" w:color="auto" w:sz="8" w:space="0"/>
              <w:right w:val="single" w:color="auto" w:sz="8" w:space="0"/>
            </w:tcBorders>
            <w:noWrap w:val="0"/>
            <w:vAlign w:val="top"/>
          </w:tcPr>
          <w:p w14:paraId="7A806403">
            <w:pPr>
              <w:jc w:val="center"/>
              <w:rPr>
                <w:rFonts w:hint="eastAsia" w:ascii="宋体" w:hAnsi="宋体" w:eastAsia="宋体" w:cs="宋体"/>
                <w:kern w:val="2"/>
                <w:sz w:val="24"/>
                <w:szCs w:val="24"/>
                <w:lang w:val="en-US" w:eastAsia="zh-CN" w:bidi="ar-SA"/>
              </w:rPr>
            </w:pPr>
            <w:r>
              <w:rPr>
                <w:rFonts w:hint="eastAsia" w:ascii="宋体" w:hAnsi="宋体" w:cs="宋体"/>
                <w:sz w:val="24"/>
                <w:szCs w:val="24"/>
              </w:rPr>
              <w:t>20</w:t>
            </w:r>
          </w:p>
        </w:tc>
      </w:tr>
      <w:tr w14:paraId="5A3F3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07" w:type="pct"/>
            <w:tcBorders>
              <w:top w:val="single" w:color="auto" w:sz="8" w:space="0"/>
              <w:left w:val="single" w:color="auto" w:sz="8" w:space="0"/>
              <w:bottom w:val="single" w:color="auto" w:sz="8" w:space="0"/>
              <w:right w:val="single" w:color="auto" w:sz="8" w:space="0"/>
            </w:tcBorders>
            <w:noWrap w:val="0"/>
            <w:vAlign w:val="center"/>
          </w:tcPr>
          <w:p w14:paraId="7B4830A2">
            <w:pPr>
              <w:jc w:val="center"/>
              <w:rPr>
                <w:rFonts w:hint="default" w:ascii="宋体" w:hAnsi="宋体" w:cs="宋体"/>
                <w:sz w:val="24"/>
                <w:szCs w:val="24"/>
                <w:lang w:val="en-US" w:eastAsia="zh-CN"/>
              </w:rPr>
            </w:pPr>
            <w:r>
              <w:rPr>
                <w:rFonts w:hint="eastAsia" w:ascii="宋体" w:hAnsi="宋体" w:cs="宋体"/>
                <w:sz w:val="24"/>
                <w:szCs w:val="24"/>
                <w:lang w:val="en-US" w:eastAsia="zh-CN"/>
              </w:rPr>
              <w:t>17</w:t>
            </w:r>
          </w:p>
        </w:tc>
        <w:tc>
          <w:tcPr>
            <w:tcW w:w="1323" w:type="pct"/>
            <w:tcBorders>
              <w:top w:val="single" w:color="auto" w:sz="8" w:space="0"/>
              <w:left w:val="single" w:color="auto" w:sz="8" w:space="0"/>
              <w:bottom w:val="single" w:color="auto" w:sz="8" w:space="0"/>
              <w:right w:val="single" w:color="auto" w:sz="8" w:space="0"/>
            </w:tcBorders>
            <w:noWrap w:val="0"/>
            <w:vAlign w:val="top"/>
          </w:tcPr>
          <w:p w14:paraId="7FB58CC3">
            <w:pPr>
              <w:jc w:val="left"/>
              <w:rPr>
                <w:rFonts w:hint="eastAsia" w:ascii="宋体" w:hAnsi="宋体" w:cs="宋体"/>
                <w:sz w:val="24"/>
                <w:szCs w:val="24"/>
              </w:rPr>
            </w:pPr>
            <w:r>
              <w:rPr>
                <w:rFonts w:ascii="宋体" w:hAnsi="宋体" w:eastAsia="宋体" w:cs="宋体"/>
                <w:sz w:val="24"/>
                <w:szCs w:val="24"/>
              </w:rPr>
              <w:t>持续应用神经肌肉阻滞剂改善心脏骤停后综合征患者预后的临床研究</w:t>
            </w:r>
          </w:p>
        </w:tc>
        <w:tc>
          <w:tcPr>
            <w:tcW w:w="735" w:type="pct"/>
            <w:tcBorders>
              <w:top w:val="single" w:color="auto" w:sz="8" w:space="0"/>
              <w:left w:val="single" w:color="auto" w:sz="8" w:space="0"/>
              <w:bottom w:val="single" w:color="auto" w:sz="8" w:space="0"/>
              <w:right w:val="single" w:color="auto" w:sz="8" w:space="0"/>
            </w:tcBorders>
            <w:noWrap w:val="0"/>
            <w:vAlign w:val="top"/>
          </w:tcPr>
          <w:p w14:paraId="594D82B5">
            <w:pPr>
              <w:jc w:val="center"/>
              <w:rPr>
                <w:rFonts w:hint="eastAsia" w:ascii="宋体" w:hAnsi="宋体" w:cs="宋体"/>
                <w:sz w:val="24"/>
                <w:szCs w:val="24"/>
              </w:rPr>
            </w:pPr>
            <w:r>
              <w:rPr>
                <w:rFonts w:ascii="宋体" w:hAnsi="宋体" w:eastAsia="宋体" w:cs="宋体"/>
                <w:sz w:val="24"/>
                <w:szCs w:val="24"/>
              </w:rPr>
              <w:t>中国急救医学</w:t>
            </w:r>
          </w:p>
        </w:tc>
        <w:tc>
          <w:tcPr>
            <w:tcW w:w="571" w:type="pct"/>
            <w:tcBorders>
              <w:top w:val="single" w:color="auto" w:sz="8" w:space="0"/>
              <w:left w:val="single" w:color="auto" w:sz="8" w:space="0"/>
              <w:bottom w:val="single" w:color="auto" w:sz="8" w:space="0"/>
              <w:right w:val="single" w:color="auto" w:sz="8" w:space="0"/>
            </w:tcBorders>
            <w:noWrap w:val="0"/>
            <w:vAlign w:val="top"/>
          </w:tcPr>
          <w:p w14:paraId="62230B6E">
            <w:pPr>
              <w:jc w:val="left"/>
              <w:rPr>
                <w:rFonts w:ascii="宋体" w:hAnsi="宋体" w:cs="宋体"/>
                <w:sz w:val="24"/>
                <w:szCs w:val="24"/>
              </w:rPr>
            </w:pPr>
            <w:r>
              <w:rPr>
                <w:rFonts w:ascii="宋体" w:hAnsi="宋体" w:eastAsia="宋体" w:cs="宋体"/>
                <w:sz w:val="24"/>
                <w:szCs w:val="24"/>
              </w:rPr>
              <w:t>2020,40(07):6 06-609</w:t>
            </w:r>
          </w:p>
        </w:tc>
        <w:tc>
          <w:tcPr>
            <w:tcW w:w="462" w:type="pct"/>
            <w:tcBorders>
              <w:top w:val="single" w:color="auto" w:sz="8" w:space="0"/>
              <w:left w:val="single" w:color="auto" w:sz="8" w:space="0"/>
              <w:bottom w:val="single" w:color="auto" w:sz="8" w:space="0"/>
              <w:right w:val="single" w:color="auto" w:sz="8" w:space="0"/>
            </w:tcBorders>
            <w:noWrap w:val="0"/>
            <w:vAlign w:val="top"/>
          </w:tcPr>
          <w:p w14:paraId="20EB139A">
            <w:pPr>
              <w:jc w:val="center"/>
              <w:rPr>
                <w:rFonts w:hint="default" w:ascii="宋体" w:hAnsi="宋体" w:eastAsia="宋体" w:cs="宋体"/>
                <w:szCs w:val="21"/>
                <w:lang w:val="en-US" w:eastAsia="zh-CN"/>
              </w:rPr>
            </w:pPr>
            <w:r>
              <w:rPr>
                <w:rFonts w:hint="eastAsia" w:ascii="宋体" w:hAnsi="宋体" w:cs="宋体"/>
                <w:szCs w:val="21"/>
                <w:lang w:val="en-US" w:eastAsia="zh-CN"/>
              </w:rPr>
              <w:t>2020</w:t>
            </w:r>
          </w:p>
        </w:tc>
        <w:tc>
          <w:tcPr>
            <w:tcW w:w="430" w:type="pct"/>
            <w:tcBorders>
              <w:top w:val="single" w:color="auto" w:sz="8" w:space="0"/>
              <w:left w:val="single" w:color="auto" w:sz="8" w:space="0"/>
              <w:bottom w:val="single" w:color="auto" w:sz="8" w:space="0"/>
              <w:right w:val="single" w:color="auto" w:sz="8" w:space="0"/>
            </w:tcBorders>
            <w:noWrap w:val="0"/>
            <w:vAlign w:val="top"/>
          </w:tcPr>
          <w:p w14:paraId="6675A7E4">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李培杰</w:t>
            </w:r>
          </w:p>
        </w:tc>
        <w:tc>
          <w:tcPr>
            <w:tcW w:w="997" w:type="pct"/>
            <w:tcBorders>
              <w:top w:val="single" w:color="auto" w:sz="8" w:space="0"/>
              <w:left w:val="single" w:color="auto" w:sz="8" w:space="0"/>
              <w:bottom w:val="single" w:color="auto" w:sz="8" w:space="0"/>
              <w:right w:val="single" w:color="auto" w:sz="8" w:space="0"/>
            </w:tcBorders>
            <w:noWrap w:val="0"/>
            <w:vAlign w:val="top"/>
          </w:tcPr>
          <w:p w14:paraId="13B01D53">
            <w:pPr>
              <w:jc w:val="center"/>
              <w:rPr>
                <w:rFonts w:hint="eastAsia" w:ascii="宋体" w:hAnsi="宋体" w:cs="宋体"/>
                <w:sz w:val="24"/>
                <w:szCs w:val="24"/>
              </w:rPr>
            </w:pPr>
            <w:r>
              <w:rPr>
                <w:rFonts w:ascii="宋体" w:hAnsi="宋体" w:eastAsia="宋体" w:cs="宋体"/>
                <w:sz w:val="24"/>
                <w:szCs w:val="24"/>
              </w:rPr>
              <w:t>何囡囡,罗延年,曹雯，高雪花，关银，王雪婷， 李培杰，王锐</w:t>
            </w:r>
          </w:p>
        </w:tc>
        <w:tc>
          <w:tcPr>
            <w:tcW w:w="270" w:type="pct"/>
            <w:tcBorders>
              <w:top w:val="single" w:color="auto" w:sz="8" w:space="0"/>
              <w:left w:val="single" w:color="auto" w:sz="8" w:space="0"/>
              <w:bottom w:val="single" w:color="auto" w:sz="8" w:space="0"/>
              <w:right w:val="single" w:color="auto" w:sz="8" w:space="0"/>
            </w:tcBorders>
            <w:noWrap w:val="0"/>
            <w:vAlign w:val="top"/>
          </w:tcPr>
          <w:p w14:paraId="3411B938">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r>
    </w:tbl>
    <w:p w14:paraId="757500F4">
      <w:pPr>
        <w:rPr>
          <w:rFonts w:hint="eastAsia" w:ascii="宋体" w:hAnsi="宋体" w:cs="宋体"/>
          <w:b/>
          <w:bCs/>
          <w:sz w:val="24"/>
          <w:szCs w:val="24"/>
        </w:rPr>
      </w:pPr>
    </w:p>
    <w:p w14:paraId="3A927413">
      <w:pPr>
        <w:rPr>
          <w:rFonts w:hint="eastAsia" w:ascii="宋体" w:hAnsi="宋体" w:cs="宋体"/>
          <w:b/>
          <w:bCs/>
          <w:sz w:val="24"/>
          <w:szCs w:val="24"/>
        </w:rPr>
      </w:pPr>
      <w:r>
        <w:rPr>
          <w:rFonts w:hint="eastAsia" w:ascii="宋体" w:hAnsi="宋体" w:cs="宋体"/>
          <w:b/>
          <w:bCs/>
          <w:sz w:val="24"/>
          <w:szCs w:val="24"/>
          <w:lang w:val="en-US" w:eastAsia="zh-CN"/>
        </w:rPr>
        <w:t>7</w:t>
      </w:r>
      <w:r>
        <w:rPr>
          <w:rFonts w:hint="eastAsia" w:ascii="宋体" w:hAnsi="宋体" w:cs="宋体"/>
          <w:b/>
          <w:bCs/>
          <w:sz w:val="24"/>
          <w:szCs w:val="24"/>
        </w:rPr>
        <w:t>.完成人情况：包括姓名、排名、职称、工作单位、对本项目的贡献</w:t>
      </w:r>
    </w:p>
    <w:tbl>
      <w:tblPr>
        <w:tblStyle w:val="3"/>
        <w:tblW w:w="13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111"/>
        <w:gridCol w:w="1980"/>
        <w:gridCol w:w="2623"/>
        <w:gridCol w:w="7119"/>
      </w:tblGrid>
      <w:tr w14:paraId="6F55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34" w:type="dxa"/>
            <w:noWrap w:val="0"/>
            <w:vAlign w:val="center"/>
          </w:tcPr>
          <w:p w14:paraId="3CEF15AD">
            <w:pPr>
              <w:widowControl/>
              <w:spacing w:before="100" w:beforeAutospacing="1" w:after="100" w:afterAutospacing="1" w:line="420" w:lineRule="atLeast"/>
              <w:jc w:val="center"/>
              <w:rPr>
                <w:rFonts w:hint="eastAsia" w:ascii="宋体" w:hAnsi="宋体" w:cs="宋体"/>
                <w:sz w:val="24"/>
                <w:szCs w:val="24"/>
              </w:rPr>
            </w:pPr>
            <w:r>
              <w:rPr>
                <w:rFonts w:hint="eastAsia" w:ascii="宋体" w:hAnsi="宋体" w:cs="宋体"/>
                <w:sz w:val="24"/>
                <w:szCs w:val="24"/>
              </w:rPr>
              <w:t>姓名</w:t>
            </w:r>
          </w:p>
        </w:tc>
        <w:tc>
          <w:tcPr>
            <w:tcW w:w="1111" w:type="dxa"/>
            <w:noWrap w:val="0"/>
            <w:vAlign w:val="center"/>
          </w:tcPr>
          <w:p w14:paraId="24F18F82">
            <w:pPr>
              <w:widowControl/>
              <w:spacing w:before="100" w:beforeAutospacing="1" w:after="100" w:afterAutospacing="1" w:line="420" w:lineRule="atLeast"/>
              <w:jc w:val="center"/>
              <w:rPr>
                <w:rFonts w:hint="eastAsia" w:ascii="宋体" w:hAnsi="宋体" w:cs="宋体"/>
                <w:sz w:val="24"/>
                <w:szCs w:val="24"/>
              </w:rPr>
            </w:pPr>
            <w:r>
              <w:rPr>
                <w:rFonts w:hint="eastAsia" w:ascii="宋体" w:hAnsi="宋体" w:cs="宋体"/>
                <w:sz w:val="24"/>
                <w:szCs w:val="24"/>
              </w:rPr>
              <w:t>排名</w:t>
            </w:r>
          </w:p>
        </w:tc>
        <w:tc>
          <w:tcPr>
            <w:tcW w:w="1980" w:type="dxa"/>
            <w:noWrap w:val="0"/>
            <w:vAlign w:val="center"/>
          </w:tcPr>
          <w:p w14:paraId="27A90416">
            <w:pPr>
              <w:widowControl/>
              <w:spacing w:before="100" w:beforeAutospacing="1" w:after="100" w:afterAutospacing="1" w:line="420" w:lineRule="atLeast"/>
              <w:jc w:val="center"/>
              <w:rPr>
                <w:rFonts w:hint="eastAsia" w:ascii="宋体" w:hAnsi="宋体" w:cs="宋体"/>
                <w:sz w:val="24"/>
                <w:szCs w:val="24"/>
              </w:rPr>
            </w:pPr>
            <w:r>
              <w:rPr>
                <w:rFonts w:hint="eastAsia" w:ascii="宋体" w:hAnsi="宋体" w:cs="宋体"/>
                <w:sz w:val="24"/>
                <w:szCs w:val="24"/>
              </w:rPr>
              <w:t>职称</w:t>
            </w:r>
          </w:p>
        </w:tc>
        <w:tc>
          <w:tcPr>
            <w:tcW w:w="2623" w:type="dxa"/>
            <w:noWrap w:val="0"/>
            <w:vAlign w:val="center"/>
          </w:tcPr>
          <w:p w14:paraId="1A075B12">
            <w:pPr>
              <w:widowControl/>
              <w:spacing w:before="100" w:beforeAutospacing="1" w:after="100" w:afterAutospacing="1" w:line="420" w:lineRule="atLeast"/>
              <w:jc w:val="center"/>
              <w:rPr>
                <w:rFonts w:hint="eastAsia" w:ascii="宋体" w:hAnsi="宋体" w:cs="宋体"/>
                <w:sz w:val="24"/>
                <w:szCs w:val="24"/>
              </w:rPr>
            </w:pPr>
            <w:r>
              <w:rPr>
                <w:rFonts w:hint="eastAsia" w:ascii="宋体" w:hAnsi="宋体" w:cs="宋体"/>
                <w:sz w:val="24"/>
                <w:szCs w:val="24"/>
                <w:lang w:val="en-US" w:eastAsia="zh-CN"/>
              </w:rPr>
              <w:t>工作</w:t>
            </w:r>
            <w:r>
              <w:rPr>
                <w:rFonts w:hint="eastAsia" w:ascii="宋体" w:hAnsi="宋体" w:cs="宋体"/>
                <w:sz w:val="24"/>
                <w:szCs w:val="24"/>
              </w:rPr>
              <w:t>单位</w:t>
            </w:r>
          </w:p>
        </w:tc>
        <w:tc>
          <w:tcPr>
            <w:tcW w:w="7119" w:type="dxa"/>
            <w:noWrap w:val="0"/>
            <w:vAlign w:val="center"/>
          </w:tcPr>
          <w:p w14:paraId="7C3D9B8F">
            <w:pPr>
              <w:widowControl/>
              <w:spacing w:before="100" w:beforeAutospacing="1" w:after="100" w:afterAutospacing="1" w:line="420" w:lineRule="atLeast"/>
              <w:jc w:val="center"/>
              <w:rPr>
                <w:rFonts w:hint="eastAsia" w:ascii="宋体" w:hAnsi="宋体" w:cs="宋体"/>
                <w:sz w:val="24"/>
                <w:szCs w:val="24"/>
              </w:rPr>
            </w:pPr>
            <w:r>
              <w:rPr>
                <w:rFonts w:hint="eastAsia" w:ascii="宋体" w:hAnsi="宋体" w:cs="宋体"/>
                <w:kern w:val="0"/>
                <w:sz w:val="24"/>
                <w:szCs w:val="24"/>
              </w:rPr>
              <w:t>对本项目的贡献</w:t>
            </w:r>
          </w:p>
        </w:tc>
      </w:tr>
      <w:tr w14:paraId="0E977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034" w:type="dxa"/>
            <w:noWrap w:val="0"/>
            <w:vAlign w:val="center"/>
          </w:tcPr>
          <w:p w14:paraId="5FD4EB98">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张正义</w:t>
            </w:r>
          </w:p>
        </w:tc>
        <w:tc>
          <w:tcPr>
            <w:tcW w:w="1111" w:type="dxa"/>
            <w:noWrap w:val="0"/>
            <w:vAlign w:val="center"/>
          </w:tcPr>
          <w:p w14:paraId="74A7BE88">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1</w:t>
            </w:r>
          </w:p>
        </w:tc>
        <w:tc>
          <w:tcPr>
            <w:tcW w:w="1980" w:type="dxa"/>
            <w:noWrap w:val="0"/>
            <w:vAlign w:val="center"/>
          </w:tcPr>
          <w:p w14:paraId="0D1DE9A3">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主任医师/副教授</w:t>
            </w:r>
          </w:p>
        </w:tc>
        <w:tc>
          <w:tcPr>
            <w:tcW w:w="2623" w:type="dxa"/>
            <w:noWrap w:val="0"/>
            <w:vAlign w:val="center"/>
          </w:tcPr>
          <w:p w14:paraId="35289388">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1395A5D4">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创新点：本项目总体负责人，提出本项目的主要学术思想，负责该项目的总体思路设计，实验流程把控，数据分析和论文撰写校审。为本项目创新点1-4作出重要贡献。 </w:t>
            </w:r>
          </w:p>
          <w:p w14:paraId="325918DB">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贡献率：90%。 </w:t>
            </w:r>
          </w:p>
          <w:p w14:paraId="44356EFE">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对应附件证明材料：为本项目17篇代表性著作中9篇学术论文（附件论文 1-9）的第一作者或通讯作者。为本项目17篇代表性著作中 2 篇学术论文（附件论文10，11）的参与作者。</w:t>
            </w:r>
          </w:p>
          <w:p w14:paraId="696C8A2B">
            <w:pPr>
              <w:jc w:val="both"/>
              <w:rPr>
                <w:rFonts w:hint="default" w:ascii="宋体" w:hAnsi="宋体" w:eastAsia="宋体" w:cs="宋体"/>
                <w:spacing w:val="-6"/>
                <w:sz w:val="24"/>
                <w:szCs w:val="24"/>
                <w:lang w:val="en-US" w:eastAsia="zh-CN"/>
              </w:rPr>
            </w:pPr>
          </w:p>
        </w:tc>
      </w:tr>
      <w:tr w14:paraId="75A9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034" w:type="dxa"/>
            <w:noWrap w:val="0"/>
            <w:vAlign w:val="center"/>
          </w:tcPr>
          <w:p w14:paraId="1A536EDB">
            <w:pPr>
              <w:jc w:val="center"/>
              <w:rPr>
                <w:rFonts w:hint="eastAsia" w:ascii="宋体" w:hAnsi="宋体" w:eastAsia="宋体" w:cs="宋体"/>
                <w:spacing w:val="-6"/>
                <w:kern w:val="2"/>
                <w:sz w:val="24"/>
                <w:szCs w:val="24"/>
                <w:lang w:val="en-US" w:eastAsia="zh-CN" w:bidi="ar-SA"/>
              </w:rPr>
            </w:pPr>
            <w:r>
              <w:rPr>
                <w:rFonts w:hint="eastAsia" w:ascii="宋体" w:hAnsi="宋体" w:cs="宋体"/>
                <w:spacing w:val="-6"/>
                <w:sz w:val="24"/>
                <w:szCs w:val="24"/>
                <w:lang w:val="en-US" w:eastAsia="zh-CN"/>
              </w:rPr>
              <w:t>赵嫄</w:t>
            </w:r>
          </w:p>
        </w:tc>
        <w:tc>
          <w:tcPr>
            <w:tcW w:w="1111" w:type="dxa"/>
            <w:noWrap w:val="0"/>
            <w:vAlign w:val="center"/>
          </w:tcPr>
          <w:p w14:paraId="5851FD2A">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2</w:t>
            </w:r>
          </w:p>
        </w:tc>
        <w:tc>
          <w:tcPr>
            <w:tcW w:w="1980" w:type="dxa"/>
            <w:noWrap w:val="0"/>
            <w:vAlign w:val="center"/>
          </w:tcPr>
          <w:p w14:paraId="20E11FD2">
            <w:pPr>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副主任医师</w:t>
            </w:r>
          </w:p>
        </w:tc>
        <w:tc>
          <w:tcPr>
            <w:tcW w:w="2623" w:type="dxa"/>
            <w:noWrap w:val="0"/>
            <w:vAlign w:val="center"/>
          </w:tcPr>
          <w:p w14:paraId="6F5188B3">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751A7BFC">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创新点：项目主要完成人，参与课题设计、实验实施及数据统计，完成项目中赖氨酸乙酰化的动态调节在心脏疾病中的研究进展论文撰写.为本项目创新点1，4作出主要贡献。 </w:t>
            </w:r>
          </w:p>
          <w:p w14:paraId="78D31A86">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贡献率：80%。 </w:t>
            </w:r>
          </w:p>
          <w:p w14:paraId="20AB2A04">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 1 篇学术论文（附件论文3）的第一作者，为本项目17篇代表性著作中 4 篇学术论文（附件论文2，8，9，10）的参与作者。</w:t>
            </w:r>
          </w:p>
        </w:tc>
      </w:tr>
      <w:tr w14:paraId="68C8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034" w:type="dxa"/>
            <w:noWrap w:val="0"/>
            <w:vAlign w:val="center"/>
          </w:tcPr>
          <w:p w14:paraId="65110503">
            <w:pPr>
              <w:jc w:val="center"/>
              <w:rPr>
                <w:rFonts w:hint="eastAsia" w:ascii="宋体" w:hAnsi="宋体" w:eastAsia="宋体" w:cs="宋体"/>
                <w:spacing w:val="-6"/>
                <w:kern w:val="2"/>
                <w:sz w:val="24"/>
                <w:szCs w:val="24"/>
                <w:lang w:val="en-US" w:eastAsia="zh-CN" w:bidi="ar-SA"/>
              </w:rPr>
            </w:pPr>
            <w:r>
              <w:rPr>
                <w:rFonts w:hint="eastAsia" w:ascii="宋体" w:hAnsi="宋体" w:cs="宋体"/>
                <w:spacing w:val="-6"/>
                <w:sz w:val="24"/>
                <w:szCs w:val="24"/>
                <w:lang w:val="en-US" w:eastAsia="zh-CN"/>
              </w:rPr>
              <w:t>关晓丽</w:t>
            </w:r>
          </w:p>
        </w:tc>
        <w:tc>
          <w:tcPr>
            <w:tcW w:w="1111" w:type="dxa"/>
            <w:noWrap w:val="0"/>
            <w:vAlign w:val="center"/>
          </w:tcPr>
          <w:p w14:paraId="5351E9C8">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3</w:t>
            </w:r>
          </w:p>
        </w:tc>
        <w:tc>
          <w:tcPr>
            <w:tcW w:w="1980" w:type="dxa"/>
            <w:noWrap w:val="0"/>
            <w:vAlign w:val="center"/>
          </w:tcPr>
          <w:p w14:paraId="23894EDE">
            <w:pPr>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副主任医师</w:t>
            </w:r>
          </w:p>
        </w:tc>
        <w:tc>
          <w:tcPr>
            <w:tcW w:w="2623" w:type="dxa"/>
            <w:noWrap w:val="0"/>
            <w:vAlign w:val="center"/>
          </w:tcPr>
          <w:p w14:paraId="168AD0ED">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50013321">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主要完成人，参与项目中奈比洛尔联合四氢生物蝶呤通过一氧化氮/环磷酸鸟苷信号通路影响自发性高血压大鼠的舒张功能实验设计、病例收集、数据分析和论文撰写等。为本项目创新点1，4作出主要贡献。 </w:t>
            </w:r>
          </w:p>
          <w:p w14:paraId="4C20756D">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贡献率：75%。 </w:t>
            </w:r>
          </w:p>
          <w:p w14:paraId="7C15D63A">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 2 篇学术论文（附件论文</w:t>
            </w:r>
            <w:r>
              <w:rPr>
                <w:rFonts w:hint="eastAsia" w:ascii="宋体" w:hAnsi="宋体" w:eastAsia="宋体" w:cs="宋体"/>
                <w:spacing w:val="-6"/>
                <w:sz w:val="24"/>
                <w:szCs w:val="24"/>
                <w:highlight w:val="none"/>
                <w:lang w:val="en-US" w:eastAsia="zh-CN"/>
              </w:rPr>
              <w:t>2</w:t>
            </w:r>
            <w:r>
              <w:rPr>
                <w:rFonts w:hint="eastAsia" w:ascii="宋体" w:hAnsi="宋体" w:eastAsia="宋体" w:cs="宋体"/>
                <w:spacing w:val="-6"/>
                <w:sz w:val="24"/>
                <w:szCs w:val="24"/>
                <w:lang w:val="en-US" w:eastAsia="zh-CN"/>
              </w:rPr>
              <w:t>，4）的第一作者。为本项目17篇代表性著作中1篇学术论文（附件论文9）的参与作者。</w:t>
            </w:r>
          </w:p>
        </w:tc>
      </w:tr>
      <w:tr w14:paraId="4DB2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13B10107">
            <w:pPr>
              <w:ind w:firstLine="240" w:firstLineChars="1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蒙颖  </w:t>
            </w:r>
          </w:p>
        </w:tc>
        <w:tc>
          <w:tcPr>
            <w:tcW w:w="1111" w:type="dxa"/>
            <w:noWrap w:val="0"/>
            <w:vAlign w:val="center"/>
          </w:tcPr>
          <w:p w14:paraId="66ED4814">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4</w:t>
            </w:r>
          </w:p>
        </w:tc>
        <w:tc>
          <w:tcPr>
            <w:tcW w:w="1980" w:type="dxa"/>
            <w:noWrap w:val="0"/>
            <w:vAlign w:val="center"/>
          </w:tcPr>
          <w:p w14:paraId="1B71229D">
            <w:pPr>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副主任医师</w:t>
            </w:r>
          </w:p>
        </w:tc>
        <w:tc>
          <w:tcPr>
            <w:tcW w:w="2623" w:type="dxa"/>
            <w:noWrap w:val="0"/>
            <w:vAlign w:val="center"/>
          </w:tcPr>
          <w:p w14:paraId="728F584C">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6B825C3D">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创新点：项目主要完成人，参与项目中 X 线放射诱导大鼠心肌细胞系 H9c2 损伤中组蛋白乙酰化水平降低的论文撰写等。为本项目创新点 1，4作出主要贡献。 </w:t>
            </w:r>
          </w:p>
          <w:p w14:paraId="62672533">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贡献率：70%。 </w:t>
            </w:r>
          </w:p>
          <w:p w14:paraId="17149059">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 17 篇代表性著作中 3 篇学术论文（附件论文 5，10，11）的第一作者。为本项目17篇代表性著作中1篇学术论文（附件论文2）的参与作者。</w:t>
            </w:r>
          </w:p>
        </w:tc>
      </w:tr>
      <w:tr w14:paraId="75EE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08EF0FA2">
            <w:pPr>
              <w:jc w:val="center"/>
              <w:rPr>
                <w:rFonts w:hint="eastAsia" w:ascii="宋体" w:hAnsi="宋体" w:cs="宋体"/>
                <w:spacing w:val="-6"/>
                <w:sz w:val="24"/>
                <w:szCs w:val="24"/>
              </w:rPr>
            </w:pPr>
            <w:r>
              <w:rPr>
                <w:rFonts w:hint="eastAsia" w:cs="Times New Roman"/>
                <w:sz w:val="24"/>
                <w:szCs w:val="24"/>
                <w:vertAlign w:val="baseline"/>
                <w:lang w:val="en-US" w:eastAsia="zh-CN"/>
              </w:rPr>
              <w:t>马海</w:t>
            </w:r>
            <w:r>
              <w:rPr>
                <w:rFonts w:hint="eastAsia" w:eastAsia="宋体" w:cs="Times New Roman"/>
                <w:sz w:val="24"/>
                <w:szCs w:val="24"/>
                <w:vertAlign w:val="baseline"/>
                <w:lang w:val="en-US" w:eastAsia="zh-CN"/>
              </w:rPr>
              <w:t>涛</w:t>
            </w:r>
          </w:p>
        </w:tc>
        <w:tc>
          <w:tcPr>
            <w:tcW w:w="1111" w:type="dxa"/>
            <w:noWrap w:val="0"/>
            <w:vAlign w:val="center"/>
          </w:tcPr>
          <w:p w14:paraId="73C2B3EB">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5</w:t>
            </w:r>
          </w:p>
        </w:tc>
        <w:tc>
          <w:tcPr>
            <w:tcW w:w="1980" w:type="dxa"/>
            <w:noWrap w:val="0"/>
            <w:vAlign w:val="center"/>
          </w:tcPr>
          <w:p w14:paraId="243A8D24">
            <w:pPr>
              <w:jc w:val="center"/>
              <w:rPr>
                <w:rFonts w:hint="default"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实验师</w:t>
            </w:r>
          </w:p>
        </w:tc>
        <w:tc>
          <w:tcPr>
            <w:tcW w:w="2623" w:type="dxa"/>
            <w:noWrap w:val="0"/>
            <w:vAlign w:val="center"/>
          </w:tcPr>
          <w:p w14:paraId="483920C9">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w:t>
            </w:r>
          </w:p>
        </w:tc>
        <w:tc>
          <w:tcPr>
            <w:tcW w:w="7119" w:type="dxa"/>
            <w:noWrap w:val="0"/>
            <w:vAlign w:val="center"/>
          </w:tcPr>
          <w:p w14:paraId="444D40EE">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创新点：项目参与者，参与菲对雌性大鼠肺、肝氧化应激及炎症的影响的课题设计、实验实施及统计分析的课题设计、实验实施及统计分析。为本项目创新点2作出主要贡献。 </w:t>
            </w:r>
          </w:p>
          <w:p w14:paraId="76B9949A">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贡献率：65%。 </w:t>
            </w:r>
          </w:p>
          <w:p w14:paraId="016B2542">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对应附件证明材料：为本项目17篇代表性著作中1篇学术论文（附件论文13）的第一作者。</w:t>
            </w:r>
          </w:p>
        </w:tc>
      </w:tr>
      <w:tr w14:paraId="3F355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279B48C5">
            <w:pPr>
              <w:jc w:val="center"/>
              <w:rPr>
                <w:rFonts w:hint="eastAsia" w:ascii="宋体" w:hAnsi="宋体" w:cs="宋体"/>
                <w:spacing w:val="-6"/>
                <w:sz w:val="24"/>
                <w:szCs w:val="24"/>
              </w:rPr>
            </w:pPr>
            <w:r>
              <w:rPr>
                <w:rFonts w:hint="eastAsia" w:eastAsia="宋体" w:cs="Times New Roman"/>
                <w:sz w:val="24"/>
                <w:szCs w:val="24"/>
                <w:vertAlign w:val="baseline"/>
                <w:lang w:val="en-US" w:eastAsia="zh-CN"/>
              </w:rPr>
              <w:t>许兆青</w:t>
            </w:r>
          </w:p>
        </w:tc>
        <w:tc>
          <w:tcPr>
            <w:tcW w:w="1111" w:type="dxa"/>
            <w:noWrap w:val="0"/>
            <w:vAlign w:val="center"/>
          </w:tcPr>
          <w:p w14:paraId="2157C148">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6</w:t>
            </w:r>
          </w:p>
        </w:tc>
        <w:tc>
          <w:tcPr>
            <w:tcW w:w="1980" w:type="dxa"/>
            <w:noWrap w:val="0"/>
            <w:vAlign w:val="center"/>
          </w:tcPr>
          <w:p w14:paraId="4488F05C">
            <w:pPr>
              <w:jc w:val="center"/>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教授</w:t>
            </w:r>
          </w:p>
        </w:tc>
        <w:tc>
          <w:tcPr>
            <w:tcW w:w="2623" w:type="dxa"/>
            <w:noWrap w:val="0"/>
            <w:vAlign w:val="center"/>
          </w:tcPr>
          <w:p w14:paraId="664E7073">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w:t>
            </w:r>
          </w:p>
        </w:tc>
        <w:tc>
          <w:tcPr>
            <w:tcW w:w="7119" w:type="dxa"/>
            <w:noWrap w:val="0"/>
            <w:vAlign w:val="center"/>
          </w:tcPr>
          <w:p w14:paraId="0941032C">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创新点：项目参与者，参与可见光介导的非天然 α-氨基酸和肽大环的无催化剂合成的课题设计、实验实施及统计分析的课题设计、实验实施及统计分析。为本项目创新点4作出主要贡献。 </w:t>
            </w:r>
          </w:p>
          <w:p w14:paraId="345C1E7A">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贡献率：60%。 </w:t>
            </w:r>
          </w:p>
          <w:p w14:paraId="60297FD5">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对应附件证明材料：为本项目17篇代表性著作中1篇学术论文（附件论文12）的通讯作者。</w:t>
            </w:r>
          </w:p>
        </w:tc>
      </w:tr>
      <w:tr w14:paraId="3F83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5A001653">
            <w:pPr>
              <w:jc w:val="center"/>
              <w:rPr>
                <w:rFonts w:hint="eastAsia" w:ascii="宋体" w:hAnsi="宋体" w:cs="宋体"/>
                <w:spacing w:val="-6"/>
                <w:sz w:val="24"/>
                <w:szCs w:val="24"/>
              </w:rPr>
            </w:pPr>
            <w:r>
              <w:rPr>
                <w:rFonts w:hint="eastAsia" w:eastAsia="宋体" w:cs="Times New Roman"/>
                <w:sz w:val="24"/>
                <w:szCs w:val="24"/>
                <w:vertAlign w:val="baseline"/>
                <w:lang w:val="en-US" w:eastAsia="zh-CN"/>
              </w:rPr>
              <w:t>王俊玲</w:t>
            </w:r>
          </w:p>
        </w:tc>
        <w:tc>
          <w:tcPr>
            <w:tcW w:w="1111" w:type="dxa"/>
            <w:noWrap w:val="0"/>
            <w:vAlign w:val="center"/>
          </w:tcPr>
          <w:p w14:paraId="46393F5E">
            <w:pPr>
              <w:jc w:val="center"/>
              <w:rPr>
                <w:rFonts w:hint="eastAsia" w:ascii="宋体" w:hAnsi="宋体" w:eastAsia="宋体" w:cs="宋体"/>
                <w:spacing w:val="-6"/>
                <w:sz w:val="24"/>
                <w:szCs w:val="24"/>
                <w:lang w:val="en-US" w:eastAsia="zh-CN"/>
              </w:rPr>
            </w:pPr>
            <w:r>
              <w:rPr>
                <w:rFonts w:hint="eastAsia" w:ascii="宋体" w:hAnsi="宋体" w:cs="宋体"/>
                <w:spacing w:val="-6"/>
                <w:sz w:val="24"/>
                <w:szCs w:val="24"/>
                <w:lang w:val="en-US" w:eastAsia="zh-CN"/>
              </w:rPr>
              <w:t>7</w:t>
            </w:r>
          </w:p>
        </w:tc>
        <w:tc>
          <w:tcPr>
            <w:tcW w:w="1980" w:type="dxa"/>
            <w:noWrap w:val="0"/>
            <w:vAlign w:val="center"/>
          </w:tcPr>
          <w:p w14:paraId="7063E8E8">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教授</w:t>
            </w:r>
          </w:p>
        </w:tc>
        <w:tc>
          <w:tcPr>
            <w:tcW w:w="2623" w:type="dxa"/>
            <w:noWrap w:val="0"/>
            <w:vAlign w:val="center"/>
          </w:tcPr>
          <w:p w14:paraId="5F3E83ED">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w:t>
            </w:r>
          </w:p>
        </w:tc>
        <w:tc>
          <w:tcPr>
            <w:tcW w:w="7119" w:type="dxa"/>
            <w:noWrap w:val="0"/>
            <w:vAlign w:val="center"/>
          </w:tcPr>
          <w:p w14:paraId="236231D3">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 xml:space="preserve">创新点：项目参与者，参与菲对雌性大鼠肺、肝氧化应激及炎症的影响的课题设计、实验实施及统计分析的课题设计、实验实施及统计分析。为本项目创新点2作出主要贡献。 </w:t>
            </w:r>
          </w:p>
          <w:p w14:paraId="18063A71">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 xml:space="preserve">贡献率：55%。 </w:t>
            </w:r>
          </w:p>
          <w:p w14:paraId="57F27757">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对应附件证明材料：为本项目17篇代表性著作中1篇学术论文（附件论文13）的通讯作者。</w:t>
            </w:r>
          </w:p>
        </w:tc>
      </w:tr>
      <w:tr w14:paraId="4ACA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4826D8BA">
            <w:pPr>
              <w:jc w:val="center"/>
              <w:rPr>
                <w:rFonts w:hint="eastAsia" w:ascii="宋体" w:hAnsi="宋体" w:cs="宋体"/>
                <w:spacing w:val="-6"/>
                <w:sz w:val="24"/>
                <w:szCs w:val="24"/>
              </w:rPr>
            </w:pPr>
            <w:r>
              <w:rPr>
                <w:rFonts w:hint="eastAsia" w:eastAsia="宋体" w:cs="Times New Roman"/>
                <w:sz w:val="24"/>
                <w:szCs w:val="24"/>
                <w:vertAlign w:val="baseline"/>
                <w:lang w:val="en-US" w:eastAsia="zh-CN"/>
              </w:rPr>
              <w:t>唐富天</w:t>
            </w:r>
          </w:p>
        </w:tc>
        <w:tc>
          <w:tcPr>
            <w:tcW w:w="1111" w:type="dxa"/>
            <w:noWrap w:val="0"/>
            <w:vAlign w:val="center"/>
          </w:tcPr>
          <w:p w14:paraId="3524B675">
            <w:pPr>
              <w:jc w:val="center"/>
              <w:rPr>
                <w:rFonts w:hint="default" w:ascii="宋体" w:hAnsi="宋体" w:cs="宋体"/>
                <w:spacing w:val="-6"/>
                <w:sz w:val="24"/>
                <w:szCs w:val="24"/>
                <w:lang w:val="en-US" w:eastAsia="zh-CN"/>
              </w:rPr>
            </w:pPr>
            <w:r>
              <w:rPr>
                <w:rFonts w:hint="eastAsia" w:ascii="宋体" w:hAnsi="宋体" w:cs="宋体"/>
                <w:spacing w:val="-6"/>
                <w:sz w:val="24"/>
                <w:szCs w:val="24"/>
                <w:lang w:val="en-US" w:eastAsia="zh-CN"/>
              </w:rPr>
              <w:t>8</w:t>
            </w:r>
          </w:p>
        </w:tc>
        <w:tc>
          <w:tcPr>
            <w:tcW w:w="1980" w:type="dxa"/>
            <w:noWrap w:val="0"/>
            <w:vAlign w:val="center"/>
          </w:tcPr>
          <w:p w14:paraId="796ADE84">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教授</w:t>
            </w:r>
          </w:p>
        </w:tc>
        <w:tc>
          <w:tcPr>
            <w:tcW w:w="2623" w:type="dxa"/>
            <w:noWrap w:val="0"/>
            <w:vAlign w:val="center"/>
          </w:tcPr>
          <w:p w14:paraId="7327C66A">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7F60CBF2">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创新点：项目参与者，参与钙蛋白酶抑制剂通过调节与胆固醇摄取和外排相关的基因的mRNA表达来预防载脂蛋白 E 敲除小鼠的动脉粥样硬化的课题设计、实验实施及统计分析的课题设计、实验实施及统计分析。为本项目创新点4作出主要贡献。 </w:t>
            </w:r>
          </w:p>
          <w:p w14:paraId="295643E8">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贡献率：50%。 </w:t>
            </w:r>
          </w:p>
          <w:p w14:paraId="767E400B">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对应附件证明材料：为本项目17篇代表性著作中1篇学术论文（附件论文14）的通讯作者。</w:t>
            </w:r>
          </w:p>
        </w:tc>
      </w:tr>
      <w:tr w14:paraId="6C82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0AE05F9B">
            <w:pPr>
              <w:jc w:val="center"/>
              <w:rPr>
                <w:rFonts w:hint="default" w:cs="Times New Roman"/>
                <w:sz w:val="24"/>
                <w:szCs w:val="24"/>
                <w:vertAlign w:val="baseline"/>
                <w:lang w:val="en-US" w:eastAsia="zh-CN"/>
              </w:rPr>
            </w:pPr>
            <w:r>
              <w:rPr>
                <w:rFonts w:hint="eastAsia" w:cs="Times New Roman"/>
                <w:sz w:val="24"/>
                <w:szCs w:val="24"/>
                <w:vertAlign w:val="baseline"/>
                <w:lang w:val="en-US" w:eastAsia="zh-CN"/>
              </w:rPr>
              <w:t>何囡囡</w:t>
            </w:r>
          </w:p>
        </w:tc>
        <w:tc>
          <w:tcPr>
            <w:tcW w:w="1111" w:type="dxa"/>
            <w:noWrap w:val="0"/>
            <w:vAlign w:val="center"/>
          </w:tcPr>
          <w:p w14:paraId="5A8656D9">
            <w:pPr>
              <w:jc w:val="center"/>
              <w:rPr>
                <w:rFonts w:hint="default" w:ascii="宋体" w:hAnsi="宋体" w:cs="宋体"/>
                <w:spacing w:val="-6"/>
                <w:sz w:val="24"/>
                <w:szCs w:val="24"/>
                <w:lang w:val="en-US" w:eastAsia="zh-CN"/>
              </w:rPr>
            </w:pPr>
            <w:r>
              <w:rPr>
                <w:rFonts w:hint="eastAsia" w:ascii="宋体" w:hAnsi="宋体" w:cs="宋体"/>
                <w:spacing w:val="-6"/>
                <w:sz w:val="24"/>
                <w:szCs w:val="24"/>
                <w:lang w:val="en-US" w:eastAsia="zh-CN"/>
              </w:rPr>
              <w:t>9</w:t>
            </w:r>
          </w:p>
        </w:tc>
        <w:tc>
          <w:tcPr>
            <w:tcW w:w="1980" w:type="dxa"/>
            <w:noWrap w:val="0"/>
            <w:vAlign w:val="center"/>
          </w:tcPr>
          <w:p w14:paraId="49D968C7">
            <w:pPr>
              <w:jc w:val="center"/>
              <w:rPr>
                <w:rFonts w:hint="default"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副主任医师</w:t>
            </w:r>
          </w:p>
        </w:tc>
        <w:tc>
          <w:tcPr>
            <w:tcW w:w="2623" w:type="dxa"/>
            <w:noWrap w:val="0"/>
            <w:vAlign w:val="center"/>
          </w:tcPr>
          <w:p w14:paraId="089E00F7">
            <w:pPr>
              <w:jc w:val="center"/>
              <w:rPr>
                <w:rFonts w:hint="eastAsia" w:ascii="宋体" w:hAnsi="宋体" w:eastAsia="宋体" w:cs="宋体"/>
                <w:spacing w:val="-6"/>
                <w:sz w:val="24"/>
                <w:szCs w:val="24"/>
                <w:lang w:val="en-US"/>
              </w:rPr>
            </w:pPr>
            <w:r>
              <w:rPr>
                <w:rFonts w:hint="eastAsia" w:ascii="宋体" w:hAnsi="宋体" w:eastAsia="宋体" w:cs="宋体"/>
                <w:spacing w:val="-6"/>
                <w:sz w:val="24"/>
                <w:szCs w:val="24"/>
              </w:rPr>
              <w:t>兰州大学第二医院</w:t>
            </w:r>
          </w:p>
        </w:tc>
        <w:tc>
          <w:tcPr>
            <w:tcW w:w="7119" w:type="dxa"/>
            <w:noWrap w:val="0"/>
            <w:vAlign w:val="center"/>
          </w:tcPr>
          <w:p w14:paraId="566FCFC1">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创新点：项目参与者，参与</w:t>
            </w:r>
            <w:r>
              <w:rPr>
                <w:rFonts w:ascii="宋体" w:hAnsi="宋体" w:eastAsia="宋体" w:cs="宋体"/>
                <w:sz w:val="24"/>
                <w:szCs w:val="24"/>
              </w:rPr>
              <w:t>持续应用神经肌肉阻滞剂改善心脏骤停后综合征患者预后的临床研究</w:t>
            </w:r>
            <w:r>
              <w:rPr>
                <w:rFonts w:hint="eastAsia" w:ascii="宋体" w:hAnsi="宋体" w:eastAsia="宋体" w:cs="宋体"/>
                <w:spacing w:val="-6"/>
                <w:sz w:val="24"/>
                <w:szCs w:val="24"/>
                <w:lang w:val="en-US" w:eastAsia="zh-CN"/>
              </w:rPr>
              <w:t xml:space="preserve">的课题设计、实验实施及统计分析的课题设计、实验实施及统计分析。为本项目创新点4作出主要贡献。 </w:t>
            </w:r>
          </w:p>
          <w:p w14:paraId="17B27337">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贡献率：47%。 </w:t>
            </w:r>
          </w:p>
          <w:p w14:paraId="58F23C1F">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对应附件证明材料：为本项目17篇代表性著作中1篇学术论文（附件论文17）的通讯作者。</w:t>
            </w:r>
          </w:p>
        </w:tc>
      </w:tr>
      <w:tr w14:paraId="7A085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737396A1">
            <w:pPr>
              <w:jc w:val="center"/>
              <w:rPr>
                <w:rFonts w:hint="eastAsia" w:ascii="宋体" w:hAnsi="宋体" w:cs="宋体"/>
                <w:spacing w:val="-6"/>
                <w:sz w:val="24"/>
                <w:szCs w:val="24"/>
              </w:rPr>
            </w:pPr>
            <w:r>
              <w:rPr>
                <w:rFonts w:hint="eastAsia" w:cs="Times New Roman"/>
                <w:sz w:val="24"/>
                <w:szCs w:val="24"/>
                <w:vertAlign w:val="baseline"/>
                <w:lang w:val="en-US" w:eastAsia="zh-CN"/>
              </w:rPr>
              <w:t>曹云山</w:t>
            </w:r>
          </w:p>
        </w:tc>
        <w:tc>
          <w:tcPr>
            <w:tcW w:w="1111" w:type="dxa"/>
            <w:noWrap w:val="0"/>
            <w:vAlign w:val="center"/>
          </w:tcPr>
          <w:p w14:paraId="6BC1F551">
            <w:pPr>
              <w:jc w:val="center"/>
              <w:rPr>
                <w:rFonts w:hint="default" w:ascii="宋体" w:hAnsi="宋体" w:cs="宋体"/>
                <w:spacing w:val="-6"/>
                <w:sz w:val="24"/>
                <w:szCs w:val="24"/>
                <w:lang w:val="en-US" w:eastAsia="zh-CN"/>
              </w:rPr>
            </w:pPr>
            <w:r>
              <w:rPr>
                <w:rFonts w:hint="eastAsia" w:ascii="宋体" w:hAnsi="宋体" w:cs="宋体"/>
                <w:spacing w:val="-6"/>
                <w:sz w:val="24"/>
                <w:szCs w:val="24"/>
                <w:lang w:val="en-US" w:eastAsia="zh-CN"/>
              </w:rPr>
              <w:t>10</w:t>
            </w:r>
          </w:p>
        </w:tc>
        <w:tc>
          <w:tcPr>
            <w:tcW w:w="1980" w:type="dxa"/>
            <w:noWrap w:val="0"/>
            <w:vAlign w:val="center"/>
          </w:tcPr>
          <w:p w14:paraId="682E357B">
            <w:pPr>
              <w:jc w:val="center"/>
              <w:rPr>
                <w:rFonts w:hint="default"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主任医师</w:t>
            </w:r>
          </w:p>
        </w:tc>
        <w:tc>
          <w:tcPr>
            <w:tcW w:w="2623" w:type="dxa"/>
            <w:noWrap w:val="0"/>
            <w:vAlign w:val="center"/>
          </w:tcPr>
          <w:p w14:paraId="39AEB5B9">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rPr>
              <w:t>四川省人民医院</w:t>
            </w:r>
          </w:p>
        </w:tc>
        <w:tc>
          <w:tcPr>
            <w:tcW w:w="7119" w:type="dxa"/>
            <w:noWrap w:val="0"/>
            <w:vAlign w:val="center"/>
          </w:tcPr>
          <w:p w14:paraId="5F858398">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创新点：项目参与者，参与啮齿类动物右心、脑室间隔和左心Akt信号传导和代谢基因表达的差异的课题设计、实验实施及统计分析的课题设计、实验实施及统计分析。为本项目创新点1作出主要贡献。 </w:t>
            </w:r>
          </w:p>
          <w:p w14:paraId="05B10127">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贡献率：45%。 </w:t>
            </w:r>
          </w:p>
          <w:p w14:paraId="1F252E90">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对应附件证明材料：为本项目17篇代表性著作中1篇学术论文（附件论文15）的通讯作者。</w:t>
            </w:r>
          </w:p>
        </w:tc>
      </w:tr>
      <w:tr w14:paraId="2AB3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7211E267">
            <w:pPr>
              <w:jc w:val="center"/>
              <w:rPr>
                <w:rFonts w:hint="eastAsia" w:ascii="宋体" w:hAnsi="宋体" w:cs="宋体"/>
                <w:spacing w:val="-6"/>
                <w:sz w:val="24"/>
                <w:szCs w:val="24"/>
              </w:rPr>
            </w:pPr>
            <w:r>
              <w:rPr>
                <w:rFonts w:hint="eastAsia" w:cs="Times New Roman"/>
                <w:sz w:val="24"/>
                <w:szCs w:val="24"/>
                <w:vertAlign w:val="baseline"/>
                <w:lang w:val="en-US" w:eastAsia="zh-CN"/>
              </w:rPr>
              <w:t>曹雯</w:t>
            </w:r>
          </w:p>
        </w:tc>
        <w:tc>
          <w:tcPr>
            <w:tcW w:w="1111" w:type="dxa"/>
            <w:noWrap w:val="0"/>
            <w:vAlign w:val="center"/>
          </w:tcPr>
          <w:p w14:paraId="6DDE16F4">
            <w:pPr>
              <w:jc w:val="center"/>
              <w:rPr>
                <w:rFonts w:hint="default" w:ascii="宋体" w:hAnsi="宋体" w:cs="宋体"/>
                <w:spacing w:val="-6"/>
                <w:sz w:val="24"/>
                <w:szCs w:val="24"/>
                <w:lang w:val="en-US" w:eastAsia="zh-CN"/>
              </w:rPr>
            </w:pPr>
            <w:r>
              <w:rPr>
                <w:rFonts w:hint="eastAsia" w:ascii="宋体" w:hAnsi="宋体" w:cs="宋体"/>
                <w:spacing w:val="-6"/>
                <w:sz w:val="24"/>
                <w:szCs w:val="24"/>
                <w:lang w:val="en-US" w:eastAsia="zh-CN"/>
              </w:rPr>
              <w:t>11</w:t>
            </w:r>
          </w:p>
        </w:tc>
        <w:tc>
          <w:tcPr>
            <w:tcW w:w="1980" w:type="dxa"/>
            <w:noWrap w:val="0"/>
            <w:vAlign w:val="center"/>
          </w:tcPr>
          <w:p w14:paraId="66D801B6">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主任医师</w:t>
            </w:r>
          </w:p>
        </w:tc>
        <w:tc>
          <w:tcPr>
            <w:tcW w:w="2623" w:type="dxa"/>
            <w:noWrap w:val="0"/>
            <w:vAlign w:val="center"/>
          </w:tcPr>
          <w:p w14:paraId="15F3B2E2">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2CEBC081">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创新点：项目参与者，参与艾司洛尔对脓毒症患者心肌损伤的保护作用的课题设计、实验实施及统计分析的课题设计、实验实施及统计分析。为本项目创新点4作出主要贡献。 </w:t>
            </w:r>
          </w:p>
          <w:p w14:paraId="1FC0DC45">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贡献率：40%。 </w:t>
            </w:r>
          </w:p>
          <w:p w14:paraId="3C259EC7">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对应附件证明材料：为本项目17篇代表性著作中1篇学术论文（附件论文16）的通讯作者。</w:t>
            </w:r>
          </w:p>
        </w:tc>
      </w:tr>
      <w:tr w14:paraId="00FE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366B6551">
            <w:pPr>
              <w:jc w:val="center"/>
              <w:rPr>
                <w:rFonts w:hint="eastAsia" w:ascii="宋体" w:hAnsi="宋体" w:cs="宋体"/>
                <w:spacing w:val="-6"/>
                <w:sz w:val="24"/>
                <w:szCs w:val="24"/>
              </w:rPr>
            </w:pPr>
            <w:r>
              <w:rPr>
                <w:rFonts w:hint="eastAsia" w:cs="Times New Roman"/>
                <w:sz w:val="24"/>
                <w:szCs w:val="24"/>
                <w:vertAlign w:val="baseline"/>
                <w:lang w:val="en-US" w:eastAsia="zh-CN"/>
              </w:rPr>
              <w:t>高雪花</w:t>
            </w:r>
          </w:p>
        </w:tc>
        <w:tc>
          <w:tcPr>
            <w:tcW w:w="1111" w:type="dxa"/>
            <w:noWrap w:val="0"/>
            <w:vAlign w:val="center"/>
          </w:tcPr>
          <w:p w14:paraId="0B92CE9E">
            <w:pPr>
              <w:jc w:val="center"/>
              <w:rPr>
                <w:rFonts w:hint="default" w:ascii="宋体" w:hAnsi="宋体" w:cs="宋体"/>
                <w:spacing w:val="-6"/>
                <w:sz w:val="24"/>
                <w:szCs w:val="24"/>
                <w:lang w:val="en-US" w:eastAsia="zh-CN"/>
              </w:rPr>
            </w:pPr>
            <w:r>
              <w:rPr>
                <w:rFonts w:hint="eastAsia" w:ascii="宋体" w:hAnsi="宋体" w:cs="宋体"/>
                <w:spacing w:val="-6"/>
                <w:sz w:val="24"/>
                <w:szCs w:val="24"/>
                <w:lang w:val="en-US" w:eastAsia="zh-CN"/>
              </w:rPr>
              <w:t>12</w:t>
            </w:r>
          </w:p>
        </w:tc>
        <w:tc>
          <w:tcPr>
            <w:tcW w:w="1980" w:type="dxa"/>
            <w:noWrap w:val="0"/>
            <w:vAlign w:val="center"/>
          </w:tcPr>
          <w:p w14:paraId="52B11449">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主任医师</w:t>
            </w:r>
          </w:p>
        </w:tc>
        <w:tc>
          <w:tcPr>
            <w:tcW w:w="2623" w:type="dxa"/>
            <w:noWrap w:val="0"/>
            <w:vAlign w:val="center"/>
          </w:tcPr>
          <w:p w14:paraId="65680E50">
            <w:pPr>
              <w:jc w:val="center"/>
              <w:rPr>
                <w:rFonts w:hint="eastAsia" w:ascii="宋体" w:hAnsi="宋体" w:eastAsia="宋体" w:cs="宋体"/>
                <w:spacing w:val="-6"/>
                <w:sz w:val="24"/>
                <w:szCs w:val="24"/>
              </w:rPr>
            </w:pPr>
            <w:r>
              <w:rPr>
                <w:rFonts w:hint="eastAsia" w:ascii="宋体" w:hAnsi="宋体" w:eastAsia="宋体" w:cs="宋体"/>
                <w:spacing w:val="-6"/>
                <w:sz w:val="24"/>
                <w:szCs w:val="24"/>
              </w:rPr>
              <w:t>兰州大学第二医院</w:t>
            </w:r>
          </w:p>
        </w:tc>
        <w:tc>
          <w:tcPr>
            <w:tcW w:w="7119" w:type="dxa"/>
            <w:noWrap w:val="0"/>
            <w:vAlign w:val="center"/>
          </w:tcPr>
          <w:p w14:paraId="5FB81C86">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创新点：项目参与者，参与艾司洛尔对脓毒症患者心肌损伤的保护作用的课题设计、实验实施及统计分析。为本项目创新点4作出主要贡献。 </w:t>
            </w:r>
          </w:p>
          <w:p w14:paraId="62DB39A7">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贡献率：35%。 </w:t>
            </w:r>
          </w:p>
          <w:p w14:paraId="365D6DD6">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对应附件证明材料：为本项目17篇代表性著作中1篇学术论文（附件论文16）的第一作者。</w:t>
            </w:r>
          </w:p>
        </w:tc>
      </w:tr>
      <w:tr w14:paraId="23C8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4" w:type="dxa"/>
            <w:noWrap w:val="0"/>
            <w:vAlign w:val="center"/>
          </w:tcPr>
          <w:p w14:paraId="2F096C8F">
            <w:pPr>
              <w:jc w:val="center"/>
              <w:rPr>
                <w:rFonts w:hint="eastAsia" w:cs="Times New Roman"/>
                <w:sz w:val="24"/>
                <w:szCs w:val="24"/>
                <w:vertAlign w:val="baseline"/>
                <w:lang w:val="en-US" w:eastAsia="zh-CN"/>
              </w:rPr>
            </w:pPr>
            <w:r>
              <w:rPr>
                <w:rFonts w:hint="eastAsia" w:cs="Times New Roman"/>
                <w:sz w:val="24"/>
                <w:szCs w:val="24"/>
                <w:vertAlign w:val="baseline"/>
                <w:lang w:val="en-US" w:eastAsia="zh-CN"/>
              </w:rPr>
              <w:t>聂倩文</w:t>
            </w:r>
          </w:p>
        </w:tc>
        <w:tc>
          <w:tcPr>
            <w:tcW w:w="1111" w:type="dxa"/>
            <w:noWrap w:val="0"/>
            <w:vAlign w:val="center"/>
          </w:tcPr>
          <w:p w14:paraId="707273D7">
            <w:pPr>
              <w:jc w:val="center"/>
              <w:rPr>
                <w:rFonts w:hint="default" w:ascii="宋体" w:hAnsi="宋体" w:cs="宋体"/>
                <w:spacing w:val="-6"/>
                <w:sz w:val="24"/>
                <w:szCs w:val="24"/>
                <w:lang w:val="en-US" w:eastAsia="zh-CN"/>
              </w:rPr>
            </w:pPr>
            <w:r>
              <w:rPr>
                <w:rFonts w:hint="eastAsia" w:ascii="宋体" w:hAnsi="宋体" w:cs="宋体"/>
                <w:spacing w:val="-6"/>
                <w:sz w:val="24"/>
                <w:szCs w:val="24"/>
                <w:lang w:val="en-US" w:eastAsia="zh-CN"/>
              </w:rPr>
              <w:t>13</w:t>
            </w:r>
          </w:p>
        </w:tc>
        <w:tc>
          <w:tcPr>
            <w:tcW w:w="1980" w:type="dxa"/>
            <w:noWrap w:val="0"/>
            <w:vAlign w:val="center"/>
          </w:tcPr>
          <w:p w14:paraId="50212D1D">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住院医师</w:t>
            </w:r>
          </w:p>
        </w:tc>
        <w:tc>
          <w:tcPr>
            <w:tcW w:w="2623" w:type="dxa"/>
            <w:noWrap w:val="0"/>
            <w:vAlign w:val="center"/>
          </w:tcPr>
          <w:p w14:paraId="552C0AE5">
            <w:pPr>
              <w:jc w:val="center"/>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北京大学第一医院</w:t>
            </w:r>
          </w:p>
          <w:p w14:paraId="5AC342BA">
            <w:pPr>
              <w:jc w:val="center"/>
              <w:rPr>
                <w:rFonts w:hint="default" w:ascii="宋体" w:hAnsi="宋体" w:eastAsia="宋体" w:cs="宋体"/>
                <w:spacing w:val="-6"/>
                <w:sz w:val="24"/>
                <w:szCs w:val="24"/>
                <w:lang w:val="en-US" w:eastAsia="zh-CN"/>
              </w:rPr>
            </w:pPr>
          </w:p>
        </w:tc>
        <w:tc>
          <w:tcPr>
            <w:tcW w:w="7119" w:type="dxa"/>
            <w:noWrap w:val="0"/>
            <w:vAlign w:val="center"/>
          </w:tcPr>
          <w:p w14:paraId="42BFB89B">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创新点：项目参与者，参与 MG149 抑制 MOF 介导的 p53 乙酰化以减轻 H9c2 细胞中 X 射线诱导的细胞凋亡的课题设计、统计分析及论文撰写。 为本项目创新点1，4作出主要贡献。 </w:t>
            </w:r>
          </w:p>
          <w:p w14:paraId="25E5954D">
            <w:pPr>
              <w:jc w:val="both"/>
              <w:rPr>
                <w:rFonts w:hint="eastAsia" w:ascii="宋体" w:hAnsi="宋体" w:eastAsia="宋体" w:cs="宋体"/>
                <w:spacing w:val="-6"/>
                <w:sz w:val="24"/>
                <w:szCs w:val="24"/>
              </w:rPr>
            </w:pPr>
            <w:r>
              <w:rPr>
                <w:rFonts w:hint="eastAsia" w:ascii="宋体" w:hAnsi="宋体" w:eastAsia="宋体" w:cs="宋体"/>
                <w:spacing w:val="-6"/>
                <w:sz w:val="24"/>
                <w:szCs w:val="24"/>
                <w:lang w:val="en-US" w:eastAsia="zh-CN"/>
              </w:rPr>
              <w:t xml:space="preserve">贡献率：30%。 </w:t>
            </w:r>
          </w:p>
          <w:p w14:paraId="1B27C7E3">
            <w:pPr>
              <w:jc w:val="both"/>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对应附件证明材料：为本项目 17篇代表性著作中 3 篇学术论文（附件论文1，6，8）的第一作者。为本项目16篇代表性著作中2篇学术论文（附件论文3，9）的参与作者。</w:t>
            </w:r>
          </w:p>
        </w:tc>
      </w:tr>
    </w:tbl>
    <w:p w14:paraId="7892129B">
      <w:pPr>
        <w:rPr>
          <w:rFonts w:hint="eastAsia" w:ascii="宋体" w:hAnsi="宋体" w:cs="宋体"/>
          <w:b/>
          <w:bCs/>
          <w:sz w:val="24"/>
          <w:szCs w:val="24"/>
          <w:lang w:val="en-US" w:eastAsia="zh-CN"/>
        </w:rPr>
      </w:pPr>
    </w:p>
    <w:p w14:paraId="418C6BE1">
      <w:pPr>
        <w:rPr>
          <w:rFonts w:hint="eastAsia" w:ascii="宋体" w:hAnsi="宋体" w:cs="宋体"/>
          <w:b/>
          <w:bCs/>
          <w:sz w:val="24"/>
          <w:szCs w:val="24"/>
        </w:rPr>
      </w:pPr>
      <w:r>
        <w:rPr>
          <w:rFonts w:hint="eastAsia" w:ascii="宋体" w:hAnsi="宋体" w:cs="宋体"/>
          <w:b/>
          <w:bCs/>
          <w:sz w:val="24"/>
          <w:szCs w:val="24"/>
          <w:lang w:val="en-US" w:eastAsia="zh-CN"/>
        </w:rPr>
        <w:t>8</w:t>
      </w:r>
      <w:r>
        <w:rPr>
          <w:rFonts w:hint="eastAsia" w:ascii="宋体" w:hAnsi="宋体" w:cs="宋体"/>
          <w:b/>
          <w:bCs/>
          <w:sz w:val="24"/>
          <w:szCs w:val="24"/>
        </w:rPr>
        <w:t>.完成单位情况：包括单位名称、排名，对本项目的贡献</w:t>
      </w:r>
    </w:p>
    <w:tbl>
      <w:tblPr>
        <w:tblStyle w:val="3"/>
        <w:tblW w:w="13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44"/>
        <w:gridCol w:w="1214"/>
        <w:gridCol w:w="8879"/>
      </w:tblGrid>
      <w:tr w14:paraId="1777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3744" w:type="dxa"/>
            <w:noWrap w:val="0"/>
            <w:vAlign w:val="top"/>
          </w:tcPr>
          <w:p w14:paraId="436D4056">
            <w:pPr>
              <w:jc w:val="center"/>
              <w:rPr>
                <w:rFonts w:hint="eastAsia" w:ascii="宋体" w:hAnsi="宋体" w:cs="宋体"/>
                <w:sz w:val="24"/>
                <w:szCs w:val="24"/>
              </w:rPr>
            </w:pPr>
          </w:p>
          <w:p w14:paraId="1CAF9A99">
            <w:pPr>
              <w:jc w:val="center"/>
              <w:rPr>
                <w:rFonts w:hint="eastAsia" w:ascii="宋体" w:hAnsi="宋体" w:cs="宋体"/>
                <w:sz w:val="24"/>
                <w:szCs w:val="24"/>
              </w:rPr>
            </w:pPr>
            <w:r>
              <w:rPr>
                <w:rFonts w:hint="eastAsia" w:ascii="宋体" w:hAnsi="宋体" w:cs="宋体"/>
                <w:sz w:val="24"/>
                <w:szCs w:val="24"/>
              </w:rPr>
              <w:t>单位名称</w:t>
            </w:r>
          </w:p>
        </w:tc>
        <w:tc>
          <w:tcPr>
            <w:tcW w:w="1214" w:type="dxa"/>
            <w:noWrap w:val="0"/>
            <w:vAlign w:val="top"/>
          </w:tcPr>
          <w:p w14:paraId="1F982162">
            <w:pPr>
              <w:jc w:val="center"/>
              <w:rPr>
                <w:rFonts w:hint="eastAsia" w:ascii="宋体" w:hAnsi="宋体" w:cs="宋体"/>
                <w:sz w:val="24"/>
                <w:szCs w:val="24"/>
              </w:rPr>
            </w:pPr>
          </w:p>
          <w:p w14:paraId="4612AF85">
            <w:pPr>
              <w:jc w:val="center"/>
              <w:rPr>
                <w:rFonts w:hint="eastAsia" w:ascii="宋体" w:hAnsi="宋体" w:cs="宋体"/>
                <w:sz w:val="24"/>
                <w:szCs w:val="24"/>
              </w:rPr>
            </w:pPr>
            <w:r>
              <w:rPr>
                <w:rFonts w:hint="eastAsia" w:ascii="宋体" w:hAnsi="宋体" w:cs="宋体"/>
                <w:sz w:val="24"/>
                <w:szCs w:val="24"/>
              </w:rPr>
              <w:t>排名</w:t>
            </w:r>
          </w:p>
        </w:tc>
        <w:tc>
          <w:tcPr>
            <w:tcW w:w="8879" w:type="dxa"/>
            <w:noWrap w:val="0"/>
            <w:vAlign w:val="top"/>
          </w:tcPr>
          <w:p w14:paraId="11EB2C9F">
            <w:pPr>
              <w:jc w:val="center"/>
              <w:rPr>
                <w:rFonts w:hint="eastAsia" w:ascii="宋体" w:hAnsi="宋体" w:cs="宋体"/>
                <w:sz w:val="24"/>
                <w:szCs w:val="24"/>
              </w:rPr>
            </w:pPr>
          </w:p>
          <w:p w14:paraId="52323828">
            <w:pPr>
              <w:jc w:val="center"/>
              <w:rPr>
                <w:rFonts w:hint="eastAsia" w:ascii="宋体" w:hAnsi="宋体" w:cs="宋体"/>
                <w:sz w:val="24"/>
                <w:szCs w:val="24"/>
              </w:rPr>
            </w:pPr>
            <w:r>
              <w:rPr>
                <w:rFonts w:hint="eastAsia" w:ascii="宋体" w:hAnsi="宋体" w:cs="宋体"/>
                <w:kern w:val="0"/>
                <w:sz w:val="24"/>
                <w:szCs w:val="24"/>
              </w:rPr>
              <w:t>对本项目的贡献</w:t>
            </w:r>
          </w:p>
        </w:tc>
      </w:tr>
      <w:tr w14:paraId="3AE2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3744" w:type="dxa"/>
            <w:noWrap w:val="0"/>
            <w:vAlign w:val="top"/>
          </w:tcPr>
          <w:p w14:paraId="7C694E53">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兰州大学第二医院</w:t>
            </w:r>
          </w:p>
        </w:tc>
        <w:tc>
          <w:tcPr>
            <w:tcW w:w="1214" w:type="dxa"/>
            <w:noWrap w:val="0"/>
            <w:vAlign w:val="top"/>
          </w:tcPr>
          <w:p w14:paraId="4EBBDF4C">
            <w:pPr>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1</w:t>
            </w:r>
          </w:p>
        </w:tc>
        <w:tc>
          <w:tcPr>
            <w:tcW w:w="8879" w:type="dxa"/>
            <w:noWrap w:val="0"/>
            <w:vAlign w:val="top"/>
          </w:tcPr>
          <w:p w14:paraId="621F2DB2">
            <w:pPr>
              <w:jc w:val="left"/>
              <w:rPr>
                <w:rFonts w:hint="eastAsia" w:ascii="宋体" w:hAnsi="宋体" w:eastAsia="宋体" w:cs="宋体"/>
                <w:kern w:val="2"/>
                <w:sz w:val="24"/>
                <w:szCs w:val="24"/>
                <w:lang w:val="en-US" w:eastAsia="zh-CN" w:bidi="ar-SA"/>
              </w:rPr>
            </w:pPr>
            <w:r>
              <w:rPr>
                <w:rFonts w:hint="eastAsia" w:ascii="宋体" w:hAnsi="宋体" w:cs="宋体"/>
                <w:sz w:val="24"/>
                <w:szCs w:val="24"/>
              </w:rPr>
              <w:t>兰大二院萃英生物医学研究中心</w:t>
            </w:r>
            <w:r>
              <w:rPr>
                <w:rFonts w:hint="eastAsia" w:ascii="宋体" w:hAnsi="宋体" w:cs="宋体"/>
                <w:sz w:val="24"/>
                <w:szCs w:val="24"/>
                <w:lang w:val="en-US" w:eastAsia="zh-CN"/>
              </w:rPr>
              <w:t>提供</w:t>
            </w:r>
            <w:r>
              <w:rPr>
                <w:rFonts w:hint="eastAsia" w:ascii="宋体" w:hAnsi="宋体" w:cs="宋体"/>
                <w:sz w:val="24"/>
                <w:szCs w:val="24"/>
              </w:rPr>
              <w:t>本项目所需的实验条件和相关实验仪器设备，如 SPF 动物实验室、全自动快速微生物质谱检测及数据管理系统、微生物阵列菌落高通量分析筛选系统、共聚焦显微镜流式细胞仪、气质联用仪、高效液相色谱仪、微滴式PCR系统、全自动蛋白质表达定量分析系统、实时荧光定量PCR仪、Bio-Rad电泳仪和凝胶成像分析系统、倒置显微镜、全自动酶联免疫分析仪等，完全能够满足本项目所需的实验设施。检测各项指标所需试剂和试剂盒均为市售商品完全可以保证本项目顺利完成。</w:t>
            </w:r>
          </w:p>
        </w:tc>
      </w:tr>
    </w:tbl>
    <w:p w14:paraId="72F04C01"/>
    <w:p w14:paraId="0DB8BE04">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9.</w:t>
      </w:r>
      <w:r>
        <w:rPr>
          <w:rFonts w:hint="eastAsia" w:ascii="宋体" w:hAnsi="宋体" w:cs="宋体"/>
          <w:b/>
          <w:bCs/>
          <w:sz w:val="24"/>
          <w:szCs w:val="24"/>
        </w:rPr>
        <w:t>非连续</w:t>
      </w:r>
      <w:r>
        <w:rPr>
          <w:rFonts w:hint="eastAsia" w:ascii="宋体" w:hAnsi="宋体" w:cs="宋体"/>
          <w:b/>
          <w:bCs/>
          <w:sz w:val="24"/>
          <w:szCs w:val="24"/>
          <w:lang w:val="en-US" w:eastAsia="zh-CN"/>
        </w:rPr>
        <w:t>申报证明</w:t>
      </w:r>
    </w:p>
    <w:p w14:paraId="00E4AC0F">
      <w:pPr>
        <w:keepNext w:val="0"/>
        <w:keepLines w:val="0"/>
        <w:pageBreakBefore w:val="0"/>
        <w:widowControl w:val="0"/>
        <w:numPr>
          <w:ilvl w:val="0"/>
          <w:numId w:val="0"/>
        </w:numPr>
        <w:kinsoku/>
        <w:wordWrap/>
        <w:overflowPunct/>
        <w:topLinePunct w:val="0"/>
        <w:autoSpaceDE/>
        <w:autoSpaceDN/>
        <w:bidi w:val="0"/>
        <w:adjustRightInd/>
        <w:snapToGrid/>
        <w:spacing w:line="700" w:lineRule="exact"/>
        <w:textAlignment w:val="auto"/>
        <w:rPr>
          <w:rFonts w:hint="eastAsia" w:ascii="宋体" w:hAnsi="宋体" w:cs="宋体"/>
          <w:b/>
          <w:bCs/>
          <w:kern w:val="0"/>
          <w:sz w:val="24"/>
          <w:szCs w:val="24"/>
          <w:lang w:val="en-US" w:eastAsia="zh-CN"/>
        </w:rPr>
      </w:pPr>
      <w:r>
        <w:rPr>
          <w:rFonts w:hint="eastAsia" w:ascii="宋体" w:hAnsi="宋体" w:cs="宋体"/>
          <w:b/>
          <w:bCs/>
          <w:kern w:val="0"/>
          <w:sz w:val="24"/>
          <w:szCs w:val="24"/>
          <w:lang w:val="en-US" w:eastAsia="zh-CN"/>
        </w:rPr>
        <w:t>10.知情同意证明</w:t>
      </w:r>
    </w:p>
    <w:p w14:paraId="7C99542A">
      <w:pPr>
        <w:spacing w:line="500" w:lineRule="exact"/>
        <w:ind w:firstLine="482" w:firstLineChars="200"/>
        <w:rPr>
          <w:rFonts w:hint="default" w:ascii="宋体" w:hAnsi="宋体" w:cs="宋体"/>
          <w:b/>
          <w:bCs/>
          <w:i w:val="0"/>
          <w:iCs w:val="0"/>
          <w:kern w:val="0"/>
          <w:sz w:val="24"/>
          <w:szCs w:val="24"/>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6BA84"/>
    <w:multiLevelType w:val="singleLevel"/>
    <w:tmpl w:val="F386BA84"/>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lODBiNmNlMjljYjJlZTBkMWU5ODA0ZjRkMGE2NjYifQ=="/>
  </w:docVars>
  <w:rsids>
    <w:rsidRoot w:val="00000000"/>
    <w:rsid w:val="002455D2"/>
    <w:rsid w:val="005C088A"/>
    <w:rsid w:val="00902C2A"/>
    <w:rsid w:val="00E637BF"/>
    <w:rsid w:val="011A24F4"/>
    <w:rsid w:val="01DF79C5"/>
    <w:rsid w:val="021C29C7"/>
    <w:rsid w:val="022278B2"/>
    <w:rsid w:val="02256288"/>
    <w:rsid w:val="04073203"/>
    <w:rsid w:val="048E7480"/>
    <w:rsid w:val="05300538"/>
    <w:rsid w:val="058A40EC"/>
    <w:rsid w:val="05917228"/>
    <w:rsid w:val="05C50C80"/>
    <w:rsid w:val="06320987"/>
    <w:rsid w:val="072E392A"/>
    <w:rsid w:val="07E15B19"/>
    <w:rsid w:val="08485B98"/>
    <w:rsid w:val="089D73EC"/>
    <w:rsid w:val="08D86F1C"/>
    <w:rsid w:val="08E21B49"/>
    <w:rsid w:val="09D26061"/>
    <w:rsid w:val="0A717628"/>
    <w:rsid w:val="0AEA1189"/>
    <w:rsid w:val="0B424B21"/>
    <w:rsid w:val="0C1B3CF0"/>
    <w:rsid w:val="0C692CAD"/>
    <w:rsid w:val="0C760F26"/>
    <w:rsid w:val="0C8C24F7"/>
    <w:rsid w:val="0D156991"/>
    <w:rsid w:val="0D8E4038"/>
    <w:rsid w:val="0DB02216"/>
    <w:rsid w:val="0E2D1AB8"/>
    <w:rsid w:val="0E833DCE"/>
    <w:rsid w:val="0EE20AF5"/>
    <w:rsid w:val="0FBA381F"/>
    <w:rsid w:val="0FDD306A"/>
    <w:rsid w:val="111725AC"/>
    <w:rsid w:val="11717F0E"/>
    <w:rsid w:val="11BD13A5"/>
    <w:rsid w:val="11E626AA"/>
    <w:rsid w:val="11F052D6"/>
    <w:rsid w:val="126C3FDB"/>
    <w:rsid w:val="12CE777F"/>
    <w:rsid w:val="1319260B"/>
    <w:rsid w:val="134D0507"/>
    <w:rsid w:val="13A20852"/>
    <w:rsid w:val="14164D9C"/>
    <w:rsid w:val="145E6E6F"/>
    <w:rsid w:val="147F2942"/>
    <w:rsid w:val="149A777C"/>
    <w:rsid w:val="14D25167"/>
    <w:rsid w:val="14FE7D0A"/>
    <w:rsid w:val="161E48DA"/>
    <w:rsid w:val="164E5475"/>
    <w:rsid w:val="169721C5"/>
    <w:rsid w:val="16DC239F"/>
    <w:rsid w:val="16DF591A"/>
    <w:rsid w:val="16F30626"/>
    <w:rsid w:val="173C4B1A"/>
    <w:rsid w:val="174A5489"/>
    <w:rsid w:val="17BA372F"/>
    <w:rsid w:val="19031D93"/>
    <w:rsid w:val="193261D5"/>
    <w:rsid w:val="1C8A6328"/>
    <w:rsid w:val="1C9D605B"/>
    <w:rsid w:val="1CE04199"/>
    <w:rsid w:val="1DC00253"/>
    <w:rsid w:val="1E5310C7"/>
    <w:rsid w:val="1E957931"/>
    <w:rsid w:val="1EAC07D7"/>
    <w:rsid w:val="1F0B3750"/>
    <w:rsid w:val="1F4C5B16"/>
    <w:rsid w:val="1F8D23B7"/>
    <w:rsid w:val="1F9C084C"/>
    <w:rsid w:val="20340A84"/>
    <w:rsid w:val="204333BD"/>
    <w:rsid w:val="209E23A2"/>
    <w:rsid w:val="20B7497A"/>
    <w:rsid w:val="21357B66"/>
    <w:rsid w:val="21A67760"/>
    <w:rsid w:val="226513C9"/>
    <w:rsid w:val="22857CBD"/>
    <w:rsid w:val="22E83DA8"/>
    <w:rsid w:val="22ED61CC"/>
    <w:rsid w:val="22FA4207"/>
    <w:rsid w:val="235651B5"/>
    <w:rsid w:val="23753417"/>
    <w:rsid w:val="23846326"/>
    <w:rsid w:val="23CA6B36"/>
    <w:rsid w:val="24156E1F"/>
    <w:rsid w:val="246102B6"/>
    <w:rsid w:val="24AD7057"/>
    <w:rsid w:val="24B14E13"/>
    <w:rsid w:val="24B46637"/>
    <w:rsid w:val="24D52B6B"/>
    <w:rsid w:val="25331C52"/>
    <w:rsid w:val="25B6018D"/>
    <w:rsid w:val="26487037"/>
    <w:rsid w:val="2666570F"/>
    <w:rsid w:val="26AB116E"/>
    <w:rsid w:val="27673E35"/>
    <w:rsid w:val="27EE1E60"/>
    <w:rsid w:val="28DE3C83"/>
    <w:rsid w:val="28E60D8A"/>
    <w:rsid w:val="297E6C9E"/>
    <w:rsid w:val="2A1A6F3D"/>
    <w:rsid w:val="2A273408"/>
    <w:rsid w:val="2A443FBA"/>
    <w:rsid w:val="2A6308E4"/>
    <w:rsid w:val="2A781EB5"/>
    <w:rsid w:val="2AA131BA"/>
    <w:rsid w:val="2AC62C21"/>
    <w:rsid w:val="2B200583"/>
    <w:rsid w:val="2B2636BF"/>
    <w:rsid w:val="2B404781"/>
    <w:rsid w:val="2BF35C97"/>
    <w:rsid w:val="2C2E6CCF"/>
    <w:rsid w:val="2C9034E6"/>
    <w:rsid w:val="2DE53D06"/>
    <w:rsid w:val="2F2B74F6"/>
    <w:rsid w:val="2F5D42A3"/>
    <w:rsid w:val="2F9432ED"/>
    <w:rsid w:val="30E738F1"/>
    <w:rsid w:val="31091AB9"/>
    <w:rsid w:val="31692558"/>
    <w:rsid w:val="31A17F44"/>
    <w:rsid w:val="31CB6D6E"/>
    <w:rsid w:val="31DE6AA2"/>
    <w:rsid w:val="320F4EAD"/>
    <w:rsid w:val="3212499D"/>
    <w:rsid w:val="32526D8A"/>
    <w:rsid w:val="331C5AD4"/>
    <w:rsid w:val="33661445"/>
    <w:rsid w:val="33723946"/>
    <w:rsid w:val="33987054"/>
    <w:rsid w:val="344A6670"/>
    <w:rsid w:val="345B262C"/>
    <w:rsid w:val="3482405C"/>
    <w:rsid w:val="368C59ED"/>
    <w:rsid w:val="36A209E6"/>
    <w:rsid w:val="36DD37CC"/>
    <w:rsid w:val="370C2303"/>
    <w:rsid w:val="3748158D"/>
    <w:rsid w:val="37667C65"/>
    <w:rsid w:val="37677539"/>
    <w:rsid w:val="37C44EBB"/>
    <w:rsid w:val="37EB1F18"/>
    <w:rsid w:val="38084878"/>
    <w:rsid w:val="389205E6"/>
    <w:rsid w:val="38984C65"/>
    <w:rsid w:val="38AF73EA"/>
    <w:rsid w:val="38D46E50"/>
    <w:rsid w:val="38E253F0"/>
    <w:rsid w:val="39162FC5"/>
    <w:rsid w:val="393F42CA"/>
    <w:rsid w:val="398E0DAD"/>
    <w:rsid w:val="399F2FBB"/>
    <w:rsid w:val="39A95BE7"/>
    <w:rsid w:val="39C742BF"/>
    <w:rsid w:val="39DF5AAD"/>
    <w:rsid w:val="3B027CA5"/>
    <w:rsid w:val="3B5B5607"/>
    <w:rsid w:val="3B7F4E52"/>
    <w:rsid w:val="3B9A1C8B"/>
    <w:rsid w:val="3CD1792F"/>
    <w:rsid w:val="3D453E79"/>
    <w:rsid w:val="3E834C59"/>
    <w:rsid w:val="3EE80F60"/>
    <w:rsid w:val="3FD37E62"/>
    <w:rsid w:val="3FE1257F"/>
    <w:rsid w:val="401D2E8B"/>
    <w:rsid w:val="40552625"/>
    <w:rsid w:val="40972C3D"/>
    <w:rsid w:val="40A35A86"/>
    <w:rsid w:val="40E35B04"/>
    <w:rsid w:val="40F97454"/>
    <w:rsid w:val="41E9396D"/>
    <w:rsid w:val="41FB36A0"/>
    <w:rsid w:val="422F6EA6"/>
    <w:rsid w:val="42984A4B"/>
    <w:rsid w:val="43853221"/>
    <w:rsid w:val="43A63197"/>
    <w:rsid w:val="44663053"/>
    <w:rsid w:val="44885306"/>
    <w:rsid w:val="453A628D"/>
    <w:rsid w:val="453E7B2C"/>
    <w:rsid w:val="45F621B4"/>
    <w:rsid w:val="46592743"/>
    <w:rsid w:val="465F5FAB"/>
    <w:rsid w:val="466E2692"/>
    <w:rsid w:val="46D02A05"/>
    <w:rsid w:val="473F7B8B"/>
    <w:rsid w:val="47680E90"/>
    <w:rsid w:val="477517FF"/>
    <w:rsid w:val="47B70069"/>
    <w:rsid w:val="47D227AD"/>
    <w:rsid w:val="48142DC6"/>
    <w:rsid w:val="4856518C"/>
    <w:rsid w:val="48965ED0"/>
    <w:rsid w:val="491F1A22"/>
    <w:rsid w:val="493F0316"/>
    <w:rsid w:val="49885819"/>
    <w:rsid w:val="4A1470AD"/>
    <w:rsid w:val="4A282B58"/>
    <w:rsid w:val="4A631DE2"/>
    <w:rsid w:val="4AFA44F5"/>
    <w:rsid w:val="4B1228C2"/>
    <w:rsid w:val="4BA206E8"/>
    <w:rsid w:val="4C793B3F"/>
    <w:rsid w:val="4CFA6A2E"/>
    <w:rsid w:val="4D9D560B"/>
    <w:rsid w:val="4DA22C22"/>
    <w:rsid w:val="4DDE7B20"/>
    <w:rsid w:val="4F626994"/>
    <w:rsid w:val="4F702FD7"/>
    <w:rsid w:val="4F876573"/>
    <w:rsid w:val="4FA767CC"/>
    <w:rsid w:val="4FC13833"/>
    <w:rsid w:val="50100316"/>
    <w:rsid w:val="50BA5FC4"/>
    <w:rsid w:val="50C35389"/>
    <w:rsid w:val="50CD4459"/>
    <w:rsid w:val="51C615D4"/>
    <w:rsid w:val="525D7357"/>
    <w:rsid w:val="52DB4C0C"/>
    <w:rsid w:val="537D3F15"/>
    <w:rsid w:val="53966D85"/>
    <w:rsid w:val="541A1764"/>
    <w:rsid w:val="54FD7A59"/>
    <w:rsid w:val="556D1D67"/>
    <w:rsid w:val="559317CE"/>
    <w:rsid w:val="559D264C"/>
    <w:rsid w:val="55E42029"/>
    <w:rsid w:val="56C37E91"/>
    <w:rsid w:val="56C836F9"/>
    <w:rsid w:val="56D93B58"/>
    <w:rsid w:val="56E95231"/>
    <w:rsid w:val="56ED7603"/>
    <w:rsid w:val="570566FB"/>
    <w:rsid w:val="572052E3"/>
    <w:rsid w:val="574D00A2"/>
    <w:rsid w:val="57BE68AA"/>
    <w:rsid w:val="57F95B34"/>
    <w:rsid w:val="58421289"/>
    <w:rsid w:val="587753D7"/>
    <w:rsid w:val="59611BE3"/>
    <w:rsid w:val="598A738C"/>
    <w:rsid w:val="59A529AD"/>
    <w:rsid w:val="59E545C2"/>
    <w:rsid w:val="5B647768"/>
    <w:rsid w:val="5B653C0C"/>
    <w:rsid w:val="5C2C0286"/>
    <w:rsid w:val="5C4F0418"/>
    <w:rsid w:val="5D245401"/>
    <w:rsid w:val="5D753EAF"/>
    <w:rsid w:val="5D845EA0"/>
    <w:rsid w:val="5D885990"/>
    <w:rsid w:val="5DDE1A54"/>
    <w:rsid w:val="5E1216FE"/>
    <w:rsid w:val="5EBD78BB"/>
    <w:rsid w:val="5EF64B7B"/>
    <w:rsid w:val="5F3D27AA"/>
    <w:rsid w:val="5FD90725"/>
    <w:rsid w:val="5FEB7E55"/>
    <w:rsid w:val="603C0CB4"/>
    <w:rsid w:val="60593D70"/>
    <w:rsid w:val="60634492"/>
    <w:rsid w:val="60C111C3"/>
    <w:rsid w:val="60D86C2E"/>
    <w:rsid w:val="60FA2603"/>
    <w:rsid w:val="611834CF"/>
    <w:rsid w:val="613F29CF"/>
    <w:rsid w:val="61D92C5E"/>
    <w:rsid w:val="61F335F4"/>
    <w:rsid w:val="62045801"/>
    <w:rsid w:val="627961EF"/>
    <w:rsid w:val="63402869"/>
    <w:rsid w:val="63EB4ECB"/>
    <w:rsid w:val="643C74D4"/>
    <w:rsid w:val="64A01811"/>
    <w:rsid w:val="64AC465A"/>
    <w:rsid w:val="64F41B5D"/>
    <w:rsid w:val="65143FAD"/>
    <w:rsid w:val="65566374"/>
    <w:rsid w:val="655D7702"/>
    <w:rsid w:val="66377F53"/>
    <w:rsid w:val="666A0329"/>
    <w:rsid w:val="66C67529"/>
    <w:rsid w:val="66EA1469"/>
    <w:rsid w:val="67550FD9"/>
    <w:rsid w:val="67AC2BC3"/>
    <w:rsid w:val="682D3D04"/>
    <w:rsid w:val="68490412"/>
    <w:rsid w:val="690F51B7"/>
    <w:rsid w:val="695E7EED"/>
    <w:rsid w:val="69F85C4B"/>
    <w:rsid w:val="6AA656A7"/>
    <w:rsid w:val="6ACB3360"/>
    <w:rsid w:val="6AE82164"/>
    <w:rsid w:val="6B4355EC"/>
    <w:rsid w:val="6B4A24D7"/>
    <w:rsid w:val="6C3D203B"/>
    <w:rsid w:val="6C580C23"/>
    <w:rsid w:val="6CAB336F"/>
    <w:rsid w:val="6D262AD0"/>
    <w:rsid w:val="6D3F3B91"/>
    <w:rsid w:val="6D4573FA"/>
    <w:rsid w:val="6E70449F"/>
    <w:rsid w:val="6E963C85"/>
    <w:rsid w:val="6EBE079F"/>
    <w:rsid w:val="70207CAA"/>
    <w:rsid w:val="70343755"/>
    <w:rsid w:val="70391839"/>
    <w:rsid w:val="705C33D8"/>
    <w:rsid w:val="70B30B1E"/>
    <w:rsid w:val="70D0347E"/>
    <w:rsid w:val="7157594D"/>
    <w:rsid w:val="71B44B4E"/>
    <w:rsid w:val="72123D27"/>
    <w:rsid w:val="722D47A0"/>
    <w:rsid w:val="72995877"/>
    <w:rsid w:val="72A66B8C"/>
    <w:rsid w:val="73041B05"/>
    <w:rsid w:val="73D72D76"/>
    <w:rsid w:val="73DC213A"/>
    <w:rsid w:val="74243E14"/>
    <w:rsid w:val="745F0CDE"/>
    <w:rsid w:val="74C57072"/>
    <w:rsid w:val="74E97204"/>
    <w:rsid w:val="75241FEA"/>
    <w:rsid w:val="754226B0"/>
    <w:rsid w:val="75B82733"/>
    <w:rsid w:val="764A782F"/>
    <w:rsid w:val="76535AE7"/>
    <w:rsid w:val="767E1BCE"/>
    <w:rsid w:val="76C23869"/>
    <w:rsid w:val="76FF2D0F"/>
    <w:rsid w:val="77091498"/>
    <w:rsid w:val="77183DD1"/>
    <w:rsid w:val="771B741D"/>
    <w:rsid w:val="771D4F43"/>
    <w:rsid w:val="77291B3A"/>
    <w:rsid w:val="774150D6"/>
    <w:rsid w:val="778E5E41"/>
    <w:rsid w:val="77E63C93"/>
    <w:rsid w:val="78021FF7"/>
    <w:rsid w:val="780A196C"/>
    <w:rsid w:val="783230D5"/>
    <w:rsid w:val="78E06722"/>
    <w:rsid w:val="78E24696"/>
    <w:rsid w:val="78F85C68"/>
    <w:rsid w:val="79761E03"/>
    <w:rsid w:val="79825532"/>
    <w:rsid w:val="79D7587D"/>
    <w:rsid w:val="79FA77BE"/>
    <w:rsid w:val="79FC224A"/>
    <w:rsid w:val="7A083C89"/>
    <w:rsid w:val="7A4C3486"/>
    <w:rsid w:val="7A5C0EAF"/>
    <w:rsid w:val="7B0501C8"/>
    <w:rsid w:val="7BCA3328"/>
    <w:rsid w:val="7BDF310F"/>
    <w:rsid w:val="7C10151B"/>
    <w:rsid w:val="7CA35BF0"/>
    <w:rsid w:val="7CB5724B"/>
    <w:rsid w:val="7CB73744"/>
    <w:rsid w:val="7CC16371"/>
    <w:rsid w:val="7D4F1BCF"/>
    <w:rsid w:val="7D882A7F"/>
    <w:rsid w:val="7D8E26F7"/>
    <w:rsid w:val="7EB0669D"/>
    <w:rsid w:val="7F2C21C7"/>
    <w:rsid w:val="7F323556"/>
    <w:rsid w:val="7F6A0F42"/>
    <w:rsid w:val="7FA938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360" w:lineRule="auto"/>
      <w:ind w:firstLine="480" w:firstLineChars="200"/>
    </w:pPr>
    <w:rPr>
      <w:rFonts w:ascii="仿宋_GB2312" w:hAnsi="Times New Roman"/>
      <w:sz w:val="24"/>
      <w:szCs w:val="20"/>
    </w:rPr>
  </w:style>
  <w:style w:type="paragraph" w:styleId="5">
    <w:name w:val="List Paragraph"/>
    <w:basedOn w:val="1"/>
    <w:qFormat/>
    <w:uiPriority w:val="99"/>
    <w:pPr>
      <w:ind w:firstLine="420" w:firstLineChars="200"/>
    </w:pPr>
    <w:rPr>
      <w:rFonts w:ascii="Times New Roman" w:hAnsi="Times New Roman"/>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4020</Words>
  <Characters>5368</Characters>
  <Lines>0</Lines>
  <Paragraphs>0</Paragraphs>
  <TotalTime>19</TotalTime>
  <ScaleCrop>false</ScaleCrop>
  <LinksUpToDate>false</LinksUpToDate>
  <CharactersWithSpaces>5555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       Tiramisu   。</cp:lastModifiedBy>
  <dcterms:modified xsi:type="dcterms:W3CDTF">2025-06-18T07:32:20Z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14EE07EDE44B46228B49FBED6DE3B58D_13</vt:lpwstr>
  </property>
  <property fmtid="{D5CDD505-2E9C-101B-9397-08002B2CF9AE}" pid="4" name="KSOTemplateDocerSaveRecord">
    <vt:lpwstr>eyJoZGlkIjoiYWZiMDc0Njk4ODc4ZDMwM2FmNDkzYWUxYzRkMzUyMzkiLCJ1c2VySWQiOiIzNjkzOTM2NDcifQ==</vt:lpwstr>
  </property>
</Properties>
</file>